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C2453">
      <w:pPr>
        <w:keepNext w:val="0"/>
        <w:keepLines w:val="0"/>
        <w:widowControl w:val="0"/>
        <w:suppressLineNumbers w:val="0"/>
        <w:spacing w:before="0" w:beforeAutospacing="0" w:after="0" w:afterAutospacing="0" w:line="580" w:lineRule="exact"/>
        <w:ind w:left="0" w:right="0" w:firstLine="880" w:firstLineChars="200"/>
        <w:jc w:val="center"/>
        <w:rPr>
          <w:rFonts w:hint="eastAsia" w:ascii="方正小标宋简体" w:hAnsi="Times New Roman" w:eastAsia="方正小标宋简体" w:cs="方正小标宋简体"/>
          <w:sz w:val="44"/>
          <w:szCs w:val="44"/>
          <w:lang w:val="en-US"/>
        </w:rPr>
      </w:pPr>
      <w:r>
        <w:rPr>
          <w:rFonts w:hint="eastAsia" w:ascii="方正小标宋简体" w:hAnsi="Times New Roman" w:eastAsia="方正小标宋简体" w:cs="方正小标宋简体"/>
          <w:kern w:val="2"/>
          <w:sz w:val="44"/>
          <w:szCs w:val="44"/>
          <w:lang w:val="en-US" w:eastAsia="zh-CN" w:bidi="ar"/>
        </w:rPr>
        <w:t>提名意见写作要求</w:t>
      </w:r>
    </w:p>
    <w:p w14:paraId="72E447E9">
      <w:pPr>
        <w:keepNext w:val="0"/>
        <w:keepLines w:val="0"/>
        <w:widowControl w:val="0"/>
        <w:suppressLineNumbers w:val="0"/>
        <w:spacing w:before="0" w:beforeAutospacing="0" w:after="0" w:afterAutospacing="0" w:line="580" w:lineRule="exact"/>
        <w:ind w:left="0" w:right="0" w:firstLine="640" w:firstLineChars="200"/>
        <w:jc w:val="center"/>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（除科技大奖）</w:t>
      </w:r>
    </w:p>
    <w:p w14:paraId="064136D6">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实事求是，就事论事，用语朴素平实、不自吹自擂，不贬低企业或同行。</w:t>
      </w:r>
    </w:p>
    <w:p w14:paraId="352D26B1">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举例：</w:t>
      </w:r>
    </w:p>
    <w:p w14:paraId="4B92499A">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不当表述“国内企业工业叉车设计水平较低”（×）</w:t>
      </w:r>
    </w:p>
    <w:p w14:paraId="15B25914">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可以表述为“国内企业工业叉车与世界先进水平差距主要集中在安全性和智能化程度”（√）。</w:t>
      </w:r>
    </w:p>
    <w:p w14:paraId="572F9FC1">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落实“破五唯”要求，不出现“长江”“千人”等人才称号，不出现涉及论文相关指标的任何表述，包括但不限于数量、影响因子、分区、他引、高被引、</w:t>
      </w:r>
      <w:r>
        <w:rPr>
          <w:rFonts w:hint="default" w:ascii="Times New Roman" w:hAnsi="Times New Roman" w:eastAsia="仿宋_GB2312" w:cs="Times New Roman"/>
          <w:kern w:val="2"/>
          <w:sz w:val="32"/>
          <w:szCs w:val="22"/>
          <w:lang w:val="en-US" w:eastAsia="zh-CN" w:bidi="ar"/>
        </w:rPr>
        <w:t>ESI</w:t>
      </w:r>
      <w:r>
        <w:rPr>
          <w:rFonts w:hint="eastAsia" w:ascii="Times New Roman" w:hAnsi="Times New Roman" w:eastAsia="仿宋_GB2312" w:cs="仿宋_GB2312"/>
          <w:kern w:val="2"/>
          <w:sz w:val="32"/>
          <w:szCs w:val="22"/>
          <w:lang w:val="en-US" w:eastAsia="zh-CN" w:bidi="ar"/>
        </w:rPr>
        <w:t>排名、热点论文、</w:t>
      </w:r>
      <w:r>
        <w:rPr>
          <w:rFonts w:hint="default" w:ascii="Times New Roman" w:hAnsi="Times New Roman" w:eastAsia="仿宋_GB2312" w:cs="Times New Roman"/>
          <w:kern w:val="2"/>
          <w:sz w:val="32"/>
          <w:szCs w:val="22"/>
          <w:lang w:val="en-US" w:eastAsia="zh-CN" w:bidi="ar"/>
        </w:rPr>
        <w:t>top</w:t>
      </w:r>
      <w:r>
        <w:rPr>
          <w:rFonts w:hint="eastAsia" w:ascii="Times New Roman" w:hAnsi="Times New Roman" w:eastAsia="仿宋_GB2312" w:cs="仿宋_GB2312"/>
          <w:kern w:val="2"/>
          <w:sz w:val="32"/>
          <w:szCs w:val="22"/>
          <w:lang w:val="en-US" w:eastAsia="zh-CN" w:bidi="ar"/>
        </w:rPr>
        <w:t>等论文相关指标等等。</w:t>
      </w:r>
    </w:p>
    <w:p w14:paraId="3E6E609A">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3.</w:t>
      </w:r>
      <w:r>
        <w:rPr>
          <w:rFonts w:hint="eastAsia" w:ascii="Times New Roman" w:hAnsi="Times New Roman" w:eastAsia="仿宋_GB2312" w:cs="仿宋_GB2312"/>
          <w:kern w:val="2"/>
          <w:sz w:val="32"/>
          <w:szCs w:val="22"/>
          <w:lang w:val="en-US" w:eastAsia="zh-CN" w:bidi="ar"/>
        </w:rPr>
        <w:t>不出现对完成人或成果的评价意见。例如院士、专家在校内推评会等场合的发言、点评。专家意见仅作为校内遴选参考使用。</w:t>
      </w:r>
    </w:p>
    <w:p w14:paraId="475FFDC7">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4.</w:t>
      </w:r>
      <w:r>
        <w:rPr>
          <w:rFonts w:hint="eastAsia" w:ascii="Times New Roman" w:hAnsi="Times New Roman" w:eastAsia="仿宋_GB2312" w:cs="仿宋_GB2312"/>
          <w:kern w:val="2"/>
          <w:sz w:val="32"/>
          <w:szCs w:val="22"/>
          <w:lang w:val="en-US" w:eastAsia="zh-CN" w:bidi="ar"/>
        </w:rPr>
        <w:t>不出现国家领导人信息。</w:t>
      </w:r>
    </w:p>
    <w:p w14:paraId="5674270F">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5.</w:t>
      </w:r>
      <w:r>
        <w:rPr>
          <w:rFonts w:hint="eastAsia" w:ascii="Times New Roman" w:hAnsi="Times New Roman" w:eastAsia="仿宋_GB2312" w:cs="仿宋_GB2312"/>
          <w:kern w:val="2"/>
          <w:sz w:val="32"/>
          <w:szCs w:val="22"/>
          <w:lang w:val="en-US" w:eastAsia="zh-CN" w:bidi="ar"/>
        </w:rPr>
        <w:t>除科技大奖，不对成果完成人的情况进行介绍，比如是全球高被引专家、某某期刊审稿人等。</w:t>
      </w:r>
    </w:p>
    <w:p w14:paraId="5E1748E1">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不当表述举例</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：“主要完成人共作国际会议特邀报告</w:t>
      </w:r>
      <w:r>
        <w:rPr>
          <w:rFonts w:hint="default" w:ascii="Times New Roman" w:hAnsi="Times New Roman" w:eastAsia="仿宋_GB2312" w:cs="Times New Roman"/>
          <w:kern w:val="2"/>
          <w:sz w:val="32"/>
          <w:szCs w:val="22"/>
          <w:lang w:val="en-US" w:eastAsia="zh-CN" w:bidi="ar"/>
        </w:rPr>
        <w:t>6</w:t>
      </w:r>
      <w:r>
        <w:rPr>
          <w:rFonts w:hint="eastAsia" w:ascii="Times New Roman" w:hAnsi="Times New Roman" w:eastAsia="仿宋_GB2312" w:cs="仿宋_GB2312"/>
          <w:kern w:val="2"/>
          <w:sz w:val="32"/>
          <w:szCs w:val="22"/>
          <w:lang w:val="en-US" w:eastAsia="zh-CN" w:bidi="ar"/>
        </w:rPr>
        <w:t>次，承办全国生态毒理学大会、绿色农药科学会议各</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次，</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人任国际期刊编委。撰写教材</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部，参编《中国植物保护百科全书》</w:t>
      </w:r>
      <w:r>
        <w:rPr>
          <w:rFonts w:hint="default" w:ascii="Times New Roman" w:hAnsi="Times New Roman" w:eastAsia="仿宋_GB2312" w:cs="Times New Roman"/>
          <w:kern w:val="2"/>
          <w:sz w:val="32"/>
          <w:szCs w:val="22"/>
          <w:lang w:val="en-US" w:eastAsia="zh-CN" w:bidi="ar"/>
        </w:rPr>
        <w:t>&lt;</w:t>
      </w:r>
      <w:r>
        <w:rPr>
          <w:rFonts w:hint="eastAsia" w:ascii="Times New Roman" w:hAnsi="Times New Roman" w:eastAsia="仿宋_GB2312" w:cs="仿宋_GB2312"/>
          <w:kern w:val="2"/>
          <w:sz w:val="32"/>
          <w:szCs w:val="22"/>
          <w:lang w:val="en-US" w:eastAsia="zh-CN" w:bidi="ar"/>
        </w:rPr>
        <w:t>农药卷</w:t>
      </w:r>
      <w:r>
        <w:rPr>
          <w:rFonts w:hint="default" w:ascii="Times New Roman" w:hAnsi="Times New Roman" w:eastAsia="仿宋_GB2312" w:cs="Times New Roman"/>
          <w:kern w:val="2"/>
          <w:sz w:val="32"/>
          <w:szCs w:val="22"/>
          <w:lang w:val="en-US" w:eastAsia="zh-CN" w:bidi="ar"/>
        </w:rPr>
        <w:t>&gt;</w:t>
      </w:r>
      <w:r>
        <w:rPr>
          <w:rFonts w:hint="eastAsia" w:ascii="Times New Roman" w:hAnsi="Times New Roman" w:eastAsia="仿宋_GB2312" w:cs="仿宋_GB2312"/>
          <w:kern w:val="2"/>
          <w:sz w:val="32"/>
          <w:szCs w:val="22"/>
          <w:lang w:val="en-US" w:eastAsia="zh-CN" w:bidi="ar"/>
        </w:rPr>
        <w:t>、翻译学术著作</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部，培养硕博士</w:t>
      </w:r>
      <w:r>
        <w:rPr>
          <w:rFonts w:hint="default" w:ascii="Times New Roman" w:hAnsi="Times New Roman" w:eastAsia="仿宋_GB2312" w:cs="Times New Roman"/>
          <w:kern w:val="2"/>
          <w:sz w:val="32"/>
          <w:szCs w:val="22"/>
          <w:lang w:val="en-US" w:eastAsia="zh-CN" w:bidi="ar"/>
        </w:rPr>
        <w:t>50</w:t>
      </w:r>
      <w:r>
        <w:rPr>
          <w:rFonts w:hint="eastAsia" w:ascii="Times New Roman" w:hAnsi="Times New Roman" w:eastAsia="仿宋_GB2312" w:cs="仿宋_GB2312"/>
          <w:kern w:val="2"/>
          <w:sz w:val="32"/>
          <w:szCs w:val="22"/>
          <w:lang w:val="en-US" w:eastAsia="zh-CN" w:bidi="ar"/>
        </w:rPr>
        <w:t>余人。”</w:t>
      </w:r>
    </w:p>
    <w:p w14:paraId="57698E0E">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不当表述举例</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：“项目组</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人入选国家优青，</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人入选省杰青；</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人连续入选“全球高被引科学家”榜单，</w:t>
      </w:r>
      <w:r>
        <w:rPr>
          <w:rFonts w:hint="default" w:ascii="Times New Roman" w:hAnsi="Times New Roman" w:eastAsia="仿宋_GB2312" w:cs="Times New Roman"/>
          <w:kern w:val="2"/>
          <w:sz w:val="32"/>
          <w:szCs w:val="22"/>
          <w:lang w:val="en-US" w:eastAsia="zh-CN" w:bidi="ar"/>
        </w:rPr>
        <w:t>3</w:t>
      </w:r>
      <w:r>
        <w:rPr>
          <w:rFonts w:hint="eastAsia" w:ascii="Times New Roman" w:hAnsi="Times New Roman" w:eastAsia="仿宋_GB2312" w:cs="仿宋_GB2312"/>
          <w:kern w:val="2"/>
          <w:sz w:val="32"/>
          <w:szCs w:val="22"/>
          <w:lang w:val="en-US" w:eastAsia="zh-CN" w:bidi="ar"/>
        </w:rPr>
        <w:t>人入选全球前</w:t>
      </w:r>
      <w:r>
        <w:rPr>
          <w:rFonts w:hint="default" w:ascii="Times New Roman" w:hAnsi="Times New Roman" w:eastAsia="仿宋_GB2312" w:cs="Times New Roman"/>
          <w:kern w:val="2"/>
          <w:sz w:val="32"/>
          <w:szCs w:val="22"/>
          <w:lang w:val="en-US" w:eastAsia="zh-CN" w:bidi="ar"/>
        </w:rPr>
        <w:t>10</w:t>
      </w:r>
      <w:r>
        <w:rPr>
          <w:rFonts w:hint="eastAsia" w:ascii="Times New Roman" w:hAnsi="Times New Roman" w:eastAsia="仿宋_GB2312" w:cs="仿宋_GB2312"/>
          <w:kern w:val="2"/>
          <w:sz w:val="32"/>
          <w:szCs w:val="22"/>
          <w:lang w:val="en-US" w:eastAsia="zh-CN" w:bidi="ar"/>
        </w:rPr>
        <w:t>万科学家榜单，</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人为博导，担任各种国家级和省部级科技项目和奖项评委。形成了一支有较大学术影响力的团队，培养了一批优秀人才。“</w:t>
      </w:r>
    </w:p>
    <w:p w14:paraId="2F2BCA11">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eastAsia" w:ascii="Times New Roman" w:hAnsi="Times New Roman" w:eastAsia="仿宋_GB2312" w:cs="仿宋_GB2312"/>
          <w:kern w:val="2"/>
          <w:sz w:val="32"/>
          <w:szCs w:val="22"/>
          <w:lang w:val="en-US" w:eastAsia="zh-CN" w:bidi="ar"/>
        </w:rPr>
        <w:t>不当表述举例</w:t>
      </w:r>
      <w:r>
        <w:rPr>
          <w:rFonts w:hint="default" w:ascii="Times New Roman" w:hAnsi="Times New Roman" w:eastAsia="仿宋_GB2312" w:cs="Times New Roman"/>
          <w:kern w:val="2"/>
          <w:sz w:val="32"/>
          <w:szCs w:val="22"/>
          <w:lang w:val="en-US" w:eastAsia="zh-CN" w:bidi="ar"/>
        </w:rPr>
        <w:t>3</w:t>
      </w:r>
      <w:r>
        <w:rPr>
          <w:rFonts w:hint="eastAsia" w:ascii="Times New Roman" w:hAnsi="Times New Roman" w:eastAsia="仿宋_GB2312" w:cs="仿宋_GB2312"/>
          <w:kern w:val="2"/>
          <w:sz w:val="32"/>
          <w:szCs w:val="22"/>
          <w:lang w:val="en-US" w:eastAsia="zh-CN" w:bidi="ar"/>
        </w:rPr>
        <w:t>：“项目组</w:t>
      </w:r>
      <w:r>
        <w:rPr>
          <w:rFonts w:hint="default" w:ascii="Times New Roman" w:hAnsi="Times New Roman" w:eastAsia="仿宋_GB2312" w:cs="Times New Roman"/>
          <w:kern w:val="2"/>
          <w:sz w:val="32"/>
          <w:szCs w:val="22"/>
          <w:lang w:val="en-US" w:eastAsia="zh-CN" w:bidi="ar"/>
        </w:rPr>
        <w:t>2</w:t>
      </w:r>
      <w:r>
        <w:rPr>
          <w:rFonts w:hint="eastAsia" w:ascii="Times New Roman" w:hAnsi="Times New Roman" w:eastAsia="仿宋_GB2312" w:cs="仿宋_GB2312"/>
          <w:kern w:val="2"/>
          <w:sz w:val="32"/>
          <w:szCs w:val="22"/>
          <w:lang w:val="en-US" w:eastAsia="zh-CN" w:bidi="ar"/>
        </w:rPr>
        <w:t>人从副教授职称晋升到教授职称，</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人从讲师职称晋升到副教授职称，培养研究生</w:t>
      </w:r>
      <w:r>
        <w:rPr>
          <w:rFonts w:hint="default" w:ascii="Times New Roman" w:hAnsi="Times New Roman" w:eastAsia="仿宋_GB2312" w:cs="Times New Roman"/>
          <w:kern w:val="2"/>
          <w:sz w:val="32"/>
          <w:szCs w:val="22"/>
          <w:lang w:val="en-US" w:eastAsia="zh-CN" w:bidi="ar"/>
        </w:rPr>
        <w:t>15</w:t>
      </w:r>
      <w:r>
        <w:rPr>
          <w:rFonts w:hint="eastAsia" w:ascii="Times New Roman" w:hAnsi="Times New Roman" w:eastAsia="仿宋_GB2312" w:cs="仿宋_GB2312"/>
          <w:kern w:val="2"/>
          <w:sz w:val="32"/>
          <w:szCs w:val="22"/>
          <w:lang w:val="en-US" w:eastAsia="zh-CN" w:bidi="ar"/>
        </w:rPr>
        <w:t>人，博士研究生</w:t>
      </w:r>
      <w:r>
        <w:rPr>
          <w:rFonts w:hint="default" w:ascii="Times New Roman" w:hAnsi="Times New Roman" w:eastAsia="仿宋_GB2312" w:cs="Times New Roman"/>
          <w:kern w:val="2"/>
          <w:sz w:val="32"/>
          <w:szCs w:val="22"/>
          <w:lang w:val="en-US" w:eastAsia="zh-CN" w:bidi="ar"/>
        </w:rPr>
        <w:t>1</w:t>
      </w:r>
      <w:r>
        <w:rPr>
          <w:rFonts w:hint="eastAsia" w:ascii="Times New Roman" w:hAnsi="Times New Roman" w:eastAsia="仿宋_GB2312" w:cs="仿宋_GB2312"/>
          <w:kern w:val="2"/>
          <w:sz w:val="32"/>
          <w:szCs w:val="22"/>
          <w:lang w:val="en-US" w:eastAsia="zh-CN" w:bidi="ar"/>
        </w:rPr>
        <w:t>人。”</w:t>
      </w:r>
    </w:p>
    <w:p w14:paraId="09B5578B">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6.</w:t>
      </w:r>
      <w:r>
        <w:rPr>
          <w:rFonts w:hint="eastAsia" w:ascii="Times New Roman" w:hAnsi="Times New Roman" w:eastAsia="仿宋_GB2312" w:cs="仿宋_GB2312"/>
          <w:kern w:val="2"/>
          <w:sz w:val="32"/>
          <w:szCs w:val="22"/>
          <w:lang w:val="en-US" w:eastAsia="zh-CN" w:bidi="ar"/>
        </w:rPr>
        <w:t>提名意见避免出现“</w:t>
      </w:r>
      <w:r>
        <w:rPr>
          <w:rFonts w:hint="default" w:ascii="Times New Roman" w:hAnsi="Times New Roman" w:eastAsia="仿宋_GB2312" w:cs="Times New Roman"/>
          <w:kern w:val="2"/>
          <w:sz w:val="32"/>
          <w:szCs w:val="22"/>
          <w:lang w:val="en-US" w:eastAsia="zh-CN" w:bidi="ar"/>
        </w:rPr>
        <w:t>%</w:t>
      </w:r>
      <w:r>
        <w:rPr>
          <w:rFonts w:hint="eastAsia" w:ascii="Times New Roman" w:hAnsi="Times New Roman" w:eastAsia="仿宋_GB2312" w:cs="仿宋_GB2312"/>
          <w:kern w:val="2"/>
          <w:sz w:val="32"/>
          <w:szCs w:val="22"/>
          <w:lang w:val="en-US" w:eastAsia="zh-CN" w:bidi="ar"/>
        </w:rPr>
        <w:t>”等特殊符合，以免无法提交。</w:t>
      </w:r>
    </w:p>
    <w:p w14:paraId="7D38C58C">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7.</w:t>
      </w:r>
      <w:r>
        <w:rPr>
          <w:rFonts w:hint="eastAsia" w:ascii="Times New Roman" w:hAnsi="Times New Roman" w:eastAsia="仿宋_GB2312" w:cs="仿宋_GB2312"/>
          <w:kern w:val="2"/>
          <w:sz w:val="32"/>
          <w:szCs w:val="22"/>
          <w:lang w:val="en-US" w:eastAsia="zh-CN" w:bidi="ar"/>
        </w:rPr>
        <w:t>不需要出现以下类似内容。“我单位认真审阅了项目推荐书及附件材料，确认全部材料真实有效，相关栏目均符合浙江省科学技术奖提名工作的填写要求。”</w:t>
      </w:r>
    </w:p>
    <w:p w14:paraId="70FEDF15">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22"/>
          <w:lang w:val="en-US"/>
        </w:rPr>
      </w:pPr>
      <w:r>
        <w:rPr>
          <w:rFonts w:hint="default" w:ascii="Times New Roman" w:hAnsi="Times New Roman" w:eastAsia="仿宋_GB2312" w:cs="Times New Roman"/>
          <w:kern w:val="2"/>
          <w:sz w:val="32"/>
          <w:szCs w:val="22"/>
          <w:lang w:val="en-US" w:eastAsia="zh-CN" w:bidi="ar"/>
        </w:rPr>
        <w:t>8.</w:t>
      </w:r>
      <w:r>
        <w:rPr>
          <w:rFonts w:hint="eastAsia" w:ascii="Times New Roman" w:hAnsi="Times New Roman" w:eastAsia="仿宋_GB2312" w:cs="仿宋_GB2312"/>
          <w:kern w:val="2"/>
          <w:sz w:val="32"/>
          <w:szCs w:val="22"/>
          <w:lang w:val="en-US" w:eastAsia="zh-CN" w:bidi="ar"/>
        </w:rPr>
        <w:t>少用“我”字。不要使用我校</w:t>
      </w:r>
    </w:p>
    <w:p w14:paraId="20DDD4DE">
      <w:pPr>
        <w:spacing w:line="580" w:lineRule="exact"/>
        <w:jc w:val="center"/>
        <w:rPr>
          <w:rFonts w:hint="eastAsia" w:ascii="方正小标宋简体" w:hAnsi="Times New Roman" w:eastAsia="方正小标宋简体"/>
          <w:sz w:val="44"/>
          <w:szCs w:val="44"/>
        </w:rPr>
      </w:pPr>
    </w:p>
    <w:p w14:paraId="5ED378AD">
      <w:pPr>
        <w:spacing w:line="58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提名意见样例</w:t>
      </w:r>
    </w:p>
    <w:p w14:paraId="15ADD22C">
      <w:pPr>
        <w:spacing w:line="580" w:lineRule="exact"/>
        <w:ind w:firstLine="640" w:firstLineChars="200"/>
        <w:jc w:val="center"/>
        <w:rPr>
          <w:rFonts w:hint="eastAsia" w:ascii="Times New Roman" w:hAnsi="Times New Roman" w:eastAsia="仿宋_GB2312"/>
          <w:sz w:val="32"/>
        </w:rPr>
      </w:pPr>
    </w:p>
    <w:p w14:paraId="782AC3A8">
      <w:pPr>
        <w:spacing w:line="580" w:lineRule="exact"/>
        <w:ind w:firstLine="640" w:firstLineChars="200"/>
        <w:rPr>
          <w:rFonts w:hint="eastAsia" w:ascii="黑体" w:hAnsi="黑体" w:eastAsia="黑体"/>
          <w:sz w:val="32"/>
        </w:rPr>
      </w:pPr>
      <w:r>
        <w:rPr>
          <w:rFonts w:hint="eastAsia" w:ascii="黑体" w:hAnsi="黑体" w:eastAsia="黑体"/>
          <w:sz w:val="32"/>
        </w:rPr>
        <w:t>一、自然科学奖</w:t>
      </w:r>
    </w:p>
    <w:p w14:paraId="520A0029">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该成果主要完成人针对我国“双碳”战略实施迫切需求以及我国碳监测严重不足的现状，研发了适用于我国不同区域温室气体浓度的高精度监测方法体系，保证我国碳监测数据的“高精度、高准确度和国际可比”，形成了由多项国家标准、行业标准和技术手册规程组成的规范化计量技术体系，已大范围推广应用于中国气象局、生态环境部和自然资源部等国家部委的业务化监测；利用监测数据，揭示了我国不同区域大气温室气体长期演变特征和调控机制，发现长三角区域温室气体浓度增速逐渐下降，应证了我国在碳减排方面所作的巨大努力；基于我国7个大气本底站温室气体高精度时间序列观测资料，结合大气反演模型，构建了我国及区域天空地一体化温室气体排放“自上而下”估算方法，系统地评估了我国陆地生态系统碳汇格局，发现2016-2019年西南地区和夏季东北地区森林固碳量达11.1亿吨碳/年，占同期人为活动排放量的约45%。</w:t>
      </w:r>
    </w:p>
    <w:p w14:paraId="62758EAC">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该成果系统提升了我国大气本底温室气体基础监测能力和国际认可度，提出了我国温室气体监测数据质量控制与质量保证体系，从定性和定量角度科学阐明了植树造林对减缓温室气体浓度上升的显著效应，为温室气体减排增汇取得的成效提供了有利证据，有力支撑了国家应对气候变化和“双碳”战略内政外交政策地实施。</w:t>
      </w:r>
    </w:p>
    <w:p w14:paraId="3C32D76A">
      <w:pPr>
        <w:spacing w:line="58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提名该成果为省自然科学奖一等奖。</w:t>
      </w:r>
    </w:p>
    <w:p w14:paraId="55E37935">
      <w:pPr>
        <w:spacing w:line="580" w:lineRule="exact"/>
        <w:ind w:firstLine="640" w:firstLineChars="200"/>
        <w:rPr>
          <w:rFonts w:hint="eastAsia" w:ascii="黑体" w:hAnsi="黑体" w:eastAsia="黑体"/>
          <w:sz w:val="32"/>
        </w:rPr>
      </w:pPr>
    </w:p>
    <w:p w14:paraId="35973951">
      <w:pPr>
        <w:spacing w:line="580" w:lineRule="exact"/>
        <w:ind w:firstLine="640" w:firstLineChars="200"/>
        <w:rPr>
          <w:rFonts w:hint="eastAsia" w:ascii="黑体" w:hAnsi="黑体" w:eastAsia="黑体"/>
          <w:sz w:val="32"/>
        </w:rPr>
      </w:pPr>
    </w:p>
    <w:p w14:paraId="233653E1">
      <w:pPr>
        <w:spacing w:line="580" w:lineRule="exact"/>
        <w:ind w:firstLine="640" w:firstLineChars="200"/>
        <w:rPr>
          <w:rFonts w:hint="eastAsia" w:ascii="黑体" w:hAnsi="黑体" w:eastAsia="黑体"/>
          <w:sz w:val="32"/>
        </w:rPr>
      </w:pPr>
    </w:p>
    <w:p w14:paraId="6C08F89D">
      <w:pPr>
        <w:spacing w:line="580" w:lineRule="exact"/>
        <w:ind w:firstLine="640" w:firstLineChars="200"/>
        <w:rPr>
          <w:rFonts w:hint="eastAsia" w:ascii="黑体" w:hAnsi="黑体" w:eastAsia="黑体"/>
          <w:sz w:val="32"/>
        </w:rPr>
      </w:pPr>
    </w:p>
    <w:p w14:paraId="0CC16719">
      <w:pPr>
        <w:spacing w:line="580" w:lineRule="exact"/>
        <w:ind w:firstLine="640" w:firstLineChars="200"/>
        <w:rPr>
          <w:rFonts w:hint="eastAsia" w:ascii="黑体" w:hAnsi="黑体" w:eastAsia="黑体"/>
          <w:sz w:val="32"/>
        </w:rPr>
      </w:pPr>
    </w:p>
    <w:p w14:paraId="235AE065">
      <w:pPr>
        <w:spacing w:line="580" w:lineRule="exact"/>
        <w:ind w:firstLine="640" w:firstLineChars="200"/>
        <w:rPr>
          <w:rFonts w:hint="eastAsia" w:ascii="黑体" w:hAnsi="黑体" w:eastAsia="黑体"/>
          <w:sz w:val="32"/>
        </w:rPr>
      </w:pPr>
    </w:p>
    <w:p w14:paraId="74DAD7EB">
      <w:pPr>
        <w:spacing w:line="580" w:lineRule="exact"/>
        <w:rPr>
          <w:rFonts w:hint="eastAsia" w:ascii="黑体" w:hAnsi="黑体" w:eastAsia="黑体"/>
          <w:sz w:val="32"/>
        </w:rPr>
      </w:pPr>
      <w:r>
        <w:rPr>
          <w:rFonts w:hint="eastAsia" w:ascii="黑体" w:hAnsi="黑体" w:eastAsia="黑体"/>
          <w:sz w:val="32"/>
        </w:rPr>
        <w:t>二、科学技术进步奖</w:t>
      </w:r>
    </w:p>
    <w:p w14:paraId="30EADC48">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非天然氨基酸具有独特的结构和功能多样性，是合成重大医药、兽药的重要手性砌块，与生命健康息息相关。我国是非天然氨基酸消费大国，但由于生产工序复杂、成本高、三废排放大等瓶颈问题，生产规模小，部分品种长期依赖进口。</w:t>
      </w:r>
    </w:p>
    <w:p w14:paraId="1291A0C2">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该项目以国家“863”计划等为依托，针对D-对羟基苯甘氨酸、D-对甲砜基苯丝氨酸和L-3-异丁基-</w:t>
      </w:r>
      <w:r>
        <w:rPr>
          <w:rFonts w:ascii="Symbol" w:hAnsi="Symbol"/>
          <w:sz w:val="36"/>
          <w:szCs w:val="23"/>
        </w:rPr>
        <w:t></w:t>
      </w:r>
      <w:r>
        <w:rPr>
          <w:rFonts w:hint="eastAsia" w:ascii="Times New Roman" w:hAnsi="Times New Roman" w:eastAsia="仿宋_GB2312"/>
          <w:sz w:val="32"/>
        </w:rPr>
        <w:t>-氨基丁酸等重要大品种非天然氨基酸工业合成瓶颈，开发以手性构筑为核心的非天然氨基酸合成新路线，发明生物催化剂精准设计和功能调控新技术，独创无效对映体体高效消旋回用新工艺，攻克了重要大品种非天然氨基酸先进制造关键共性技术。</w:t>
      </w:r>
    </w:p>
    <w:p w14:paraId="1D6EF377">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项目获授权发明专利25件，构筑了覆盖合成路线重构、催化剂创制、反应过程强化等成套技术的自主知识产权体系，整体技术国际先进，部分达到国际领先水平。实现了非天然氨基酸合成技术的全面革新和升级，有力推动了我国医药工业的高质量发展。</w:t>
      </w:r>
    </w:p>
    <w:p w14:paraId="14675F11">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该项目在浙江普洛家园药业有限公司、山东普洛汉兴医药有限公司成功应用，建成1万吨/年D-对羟基苯甘氨酸、3000吨/年D-对甲砜基苯丝氨酸乙酯和500吨/年L-3-异丁基-</w:t>
      </w:r>
      <w:r>
        <w:rPr>
          <w:rFonts w:ascii="Symbol" w:hAnsi="Symbol"/>
          <w:sz w:val="36"/>
          <w:szCs w:val="23"/>
        </w:rPr>
        <w:t></w:t>
      </w:r>
      <w:r>
        <w:rPr>
          <w:rFonts w:hint="eastAsia" w:ascii="Times New Roman" w:hAnsi="Times New Roman" w:eastAsia="仿宋_GB2312"/>
          <w:sz w:val="32"/>
        </w:rPr>
        <w:t>-氨基丁酸等非天然氨基酸及其衍生物生产线。D-对羟基苯甘氨酸系列产品、D-对甲砜基苯丝氨酸乙酯的国际市场占有率分别达60%和45%，普洛药业成为全球非天然氨基酸龙头企业。近三年累计新增销售52.2亿元，新增利税7.4亿元，取得了显著的社会经济和环境效益。</w:t>
      </w:r>
    </w:p>
    <w:p w14:paraId="5A1BE124">
      <w:pPr>
        <w:spacing w:line="580" w:lineRule="exact"/>
        <w:ind w:firstLine="640" w:firstLineChars="200"/>
        <w:rPr>
          <w:rFonts w:ascii="Times New Roman" w:hAnsi="Times New Roman" w:eastAsia="仿宋_GB2312"/>
          <w:sz w:val="32"/>
        </w:rPr>
      </w:pPr>
      <w:r>
        <w:rPr>
          <w:rFonts w:hint="eastAsia" w:ascii="Times New Roman" w:hAnsi="Times New Roman" w:eastAsia="仿宋_GB2312"/>
          <w:sz w:val="32"/>
        </w:rPr>
        <w:t>提名该成果为省科学技术进步奖一等奖。</w:t>
      </w:r>
    </w:p>
    <w:p w14:paraId="091952A2">
      <w:pPr>
        <w:spacing w:line="580" w:lineRule="exact"/>
        <w:ind w:firstLine="640" w:firstLineChars="200"/>
        <w:rPr>
          <w:rFonts w:hint="eastAsia" w:ascii="黑体" w:hAnsi="黑体" w:eastAsia="黑体"/>
          <w:sz w:val="32"/>
        </w:rPr>
      </w:pPr>
      <w:r>
        <w:rPr>
          <w:rFonts w:hint="eastAsia" w:ascii="黑体" w:hAnsi="黑体" w:eastAsia="黑体"/>
          <w:sz w:val="32"/>
        </w:rPr>
        <w:t>三、技术发明奖</w:t>
      </w:r>
    </w:p>
    <w:p w14:paraId="73E5AA71">
      <w:pPr>
        <w:spacing w:line="580" w:lineRule="exact"/>
        <w:ind w:firstLine="640" w:firstLineChars="200"/>
        <w:rPr>
          <w:rFonts w:ascii="Times New Roman" w:hAnsi="Times New Roman" w:eastAsia="仿宋_GB2312"/>
          <w:sz w:val="32"/>
        </w:rPr>
      </w:pPr>
      <w:r>
        <w:rPr>
          <w:rFonts w:ascii="Times New Roman" w:hAnsi="Times New Roman" w:eastAsia="仿宋_GB2312"/>
          <w:sz w:val="32"/>
        </w:rPr>
        <w:t>液氧甲烷发动机是可重复使用航天飞行器的理想动力方案之一，涡轮泵是液氧甲烷火箭发动机的核心部件。由于推进剂液氧与液态甲烷均为深冷液体，涡轮泵存在着内部流动机理不清晰、流体动力性能差、流体激振难以控制和可靠性差等难题。在大流量、高转速和低温等严苛运行要求下，极易出现叶轮失速、流体激励振动、密封失效等严重问题，国内尚未实现工程型号液氧甲烷火箭的发射。</w:t>
      </w:r>
    </w:p>
    <w:p w14:paraId="4CCCE4F8">
      <w:pPr>
        <w:spacing w:line="580" w:lineRule="exact"/>
        <w:ind w:firstLine="640" w:firstLineChars="200"/>
        <w:rPr>
          <w:rFonts w:hint="eastAsia" w:ascii="Times New Roman" w:hAnsi="Times New Roman" w:eastAsia="仿宋_GB2312"/>
          <w:sz w:val="32"/>
        </w:rPr>
      </w:pPr>
      <w:r>
        <w:rPr>
          <w:rFonts w:ascii="Times New Roman" w:hAnsi="Times New Roman" w:eastAsia="仿宋_GB2312"/>
          <w:sz w:val="32"/>
        </w:rPr>
        <w:t>项目在国</w:t>
      </w:r>
      <w:bookmarkStart w:id="0" w:name="_GoBack"/>
      <w:bookmarkEnd w:id="0"/>
      <w:r>
        <w:rPr>
          <w:rFonts w:ascii="Times New Roman" w:hAnsi="Times New Roman" w:eastAsia="仿宋_GB2312"/>
          <w:sz w:val="32"/>
        </w:rPr>
        <w:t>家自然科学基金重点项目、浙江省重点研发计划项目资助下，提出了低温泵全流场非定常流动预测方法，建立了基于熵产分析和叶片载荷分布的流体动力设计方法，发明了适合小流量高压比涡轮的叶型结构测量方法，提出了基于全流场激励作用及调控的转子分析设计方法，突破了涡轮泵装配制造与可靠性测试技术，研制出用于液体火箭发动机的80吨/10吨级液氧甲烷涡轮泵，随发动机实现了单次工作时间450秒/4000秒和累计工作时间18000秒/40000秒的热试车考核。项目突破了液氧甲烷涡轮泵的国产化难题，加快了国内商用液氧甲烷火箭的研制和发射进程，社会和经济效益显著。</w:t>
      </w:r>
    </w:p>
    <w:p w14:paraId="50EFB0F6">
      <w:pPr>
        <w:spacing w:line="580" w:lineRule="exact"/>
        <w:ind w:firstLine="640" w:firstLineChars="200"/>
        <w:rPr>
          <w:rFonts w:ascii="仿宋_GB2312" w:eastAsia="仿宋_GB2312"/>
          <w:color w:val="000000"/>
          <w:sz w:val="32"/>
          <w:szCs w:val="32"/>
        </w:rPr>
      </w:pPr>
      <w:r>
        <w:rPr>
          <w:rFonts w:hint="eastAsia" w:ascii="Times New Roman" w:hAnsi="Times New Roman" w:eastAsia="仿宋_GB2312"/>
          <w:sz w:val="32"/>
        </w:rPr>
        <w:t>提名该成果为浙江省技术发明一等奖。</w:t>
      </w:r>
    </w:p>
    <w:sectPr>
      <w:pgSz w:w="11906" w:h="16838"/>
      <w:pgMar w:top="1928" w:right="1531" w:bottom="1928" w:left="1531"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6E"/>
    <w:rsid w:val="000E126E"/>
    <w:rsid w:val="00204977"/>
    <w:rsid w:val="00A06E46"/>
    <w:rsid w:val="00CB64AA"/>
    <w:rsid w:val="00F46813"/>
    <w:rsid w:val="08DA34A0"/>
    <w:rsid w:val="1FF6263A"/>
    <w:rsid w:val="5A5502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2284</Words>
  <Characters>2363</Characters>
  <Lines>11</Lines>
  <Paragraphs>3</Paragraphs>
  <TotalTime>1086</TotalTime>
  <ScaleCrop>false</ScaleCrop>
  <LinksUpToDate>false</LinksUpToDate>
  <CharactersWithSpaces>2363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2024-08-09T21:19:00Z</dcterms:created>
  <dc:creator>뒴뒴</dc:creator>
  <cp:lastModifiedBy>可可树伊</cp:lastModifiedBy>
  <dcterms:modified xsi:type="dcterms:W3CDTF">2025-11-28T01:50:42Z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8C4BED5D74A744D1BEEF2B90AEAD449B_13</vt:lpwstr>
  </property>
  <property fmtid="{D5CDD505-2E9C-101B-9397-08002B2CF9AE}" pid="4" name="KSOTemplateDocerSaveRecord">
    <vt:lpwstr>eyJoZGlkIjoiZDI1MmY0YzVmZWNkNThjZGE5MGJhNzRlYzhhMDBlOTgiLCJ1c2VySWQiOiIyNTQ0NDIyOTAifQ==</vt:lpwstr>
  </property>
</Properties>
</file>