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B6917C">
      <w:pPr>
        <w:keepNext w:val="0"/>
        <w:keepLines w:val="0"/>
        <w:pageBreakBefore w:val="0"/>
        <w:widowControl w:val="0"/>
        <w:numPr>
          <w:ilvl w:val="0"/>
          <w:numId w:val="0"/>
        </w:numPr>
        <w:kinsoku/>
        <w:wordWrap w:val="0"/>
        <w:overflowPunct/>
        <w:topLinePunct w:val="0"/>
        <w:autoSpaceDE/>
        <w:autoSpaceDN/>
        <w:bidi w:val="0"/>
        <w:adjustRightInd/>
        <w:snapToGrid/>
        <w:jc w:val="center"/>
        <w:textAlignment w:val="auto"/>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学院分管领导操作手册</w:t>
      </w:r>
    </w:p>
    <w:p w14:paraId="2E011312">
      <w:pPr>
        <w:keepNext w:val="0"/>
        <w:keepLines w:val="0"/>
        <w:pageBreakBefore w:val="0"/>
        <w:widowControl w:val="0"/>
        <w:numPr>
          <w:ilvl w:val="0"/>
          <w:numId w:val="0"/>
        </w:numPr>
        <w:kinsoku/>
        <w:wordWrap w:val="0"/>
        <w:overflowPunct/>
        <w:topLinePunct w:val="0"/>
        <w:autoSpaceDE/>
        <w:autoSpaceDN/>
        <w:bidi w:val="0"/>
        <w:adjustRightInd/>
        <w:snapToGrid/>
        <w:ind w:firstLine="640" w:firstLineChars="200"/>
        <w:jc w:val="left"/>
        <w:textAlignment w:val="auto"/>
        <w:rPr>
          <w:rFonts w:hint="default"/>
          <w:sz w:val="32"/>
          <w:szCs w:val="32"/>
          <w:lang w:val="en-US" w:eastAsia="zh-CN"/>
        </w:rPr>
      </w:pPr>
      <w:r>
        <w:rPr>
          <w:rFonts w:hint="eastAsia" w:ascii="仿宋_GB2312" w:hAnsi="仿宋_GB2312" w:eastAsia="仿宋_GB2312" w:cs="仿宋_GB2312"/>
          <w:sz w:val="32"/>
          <w:szCs w:val="32"/>
          <w:lang w:val="en-US" w:eastAsia="zh-CN"/>
        </w:rPr>
        <w:t>1.打开浏览器访问，输入地址</w:t>
      </w:r>
      <w:r>
        <w:rPr>
          <w:rFonts w:hint="eastAsia" w:ascii="仿宋_GB2312" w:hAnsi="仿宋_GB2312" w:eastAsia="仿宋_GB2312" w:cs="仿宋_GB2312"/>
          <w:sz w:val="32"/>
          <w:szCs w:val="32"/>
          <w:lang w:val="en-US" w:eastAsia="zh-CN"/>
        </w:rPr>
        <w:fldChar w:fldCharType="begin"/>
      </w:r>
      <w:r>
        <w:rPr>
          <w:rFonts w:hint="eastAsia" w:ascii="仿宋_GB2312" w:hAnsi="仿宋_GB2312" w:eastAsia="仿宋_GB2312" w:cs="仿宋_GB2312"/>
          <w:sz w:val="32"/>
          <w:szCs w:val="32"/>
          <w:lang w:val="en-US" w:eastAsia="zh-CN"/>
        </w:rPr>
        <w:instrText xml:space="preserve"> HYPERLINK "https://zjut.mh.chaoxing.com" </w:instrText>
      </w:r>
      <w:r>
        <w:rPr>
          <w:rFonts w:hint="eastAsia" w:ascii="仿宋_GB2312" w:hAnsi="仿宋_GB2312" w:eastAsia="仿宋_GB2312" w:cs="仿宋_GB2312"/>
          <w:sz w:val="32"/>
          <w:szCs w:val="32"/>
          <w:lang w:val="en-US" w:eastAsia="zh-CN"/>
        </w:rPr>
        <w:fldChar w:fldCharType="separate"/>
      </w:r>
      <w:r>
        <w:rPr>
          <w:rFonts w:hint="eastAsia" w:ascii="仿宋_GB2312" w:hAnsi="仿宋_GB2312" w:eastAsia="仿宋_GB2312" w:cs="仿宋_GB2312"/>
          <w:sz w:val="32"/>
          <w:szCs w:val="32"/>
          <w:lang w:val="en-US" w:eastAsia="zh-CN"/>
        </w:rPr>
        <w:t>https://zjut.mh.chaoxing.com</w:t>
      </w:r>
      <w:r>
        <w:rPr>
          <w:rFonts w:hint="eastAsia" w:ascii="仿宋_GB2312" w:hAnsi="仿宋_GB2312" w:eastAsia="仿宋_GB2312" w:cs="仿宋_GB2312"/>
          <w:sz w:val="32"/>
          <w:szCs w:val="32"/>
          <w:lang w:val="en-US" w:eastAsia="zh-CN"/>
        </w:rPr>
        <w:fldChar w:fldCharType="end"/>
      </w:r>
      <w:r>
        <w:rPr>
          <w:rFonts w:hint="eastAsia" w:ascii="仿宋_GB2312" w:hAnsi="仿宋_GB2312" w:eastAsia="仿宋_GB2312" w:cs="仿宋_GB2312"/>
          <w:sz w:val="32"/>
          <w:szCs w:val="32"/>
          <w:lang w:val="en-US" w:eastAsia="zh-CN"/>
        </w:rPr>
        <w:t xml:space="preserve"> ,右上角可选择“登录”</w:t>
      </w:r>
      <w:r>
        <w:rPr>
          <w:rFonts w:hint="eastAsia" w:eastAsiaTheme="minorEastAsia"/>
          <w:lang w:eastAsia="zh-CN"/>
        </w:rPr>
        <w:drawing>
          <wp:inline distT="0" distB="0" distL="114300" distR="114300">
            <wp:extent cx="5273040" cy="2796540"/>
            <wp:effectExtent l="0" t="0" r="0" b="7620"/>
            <wp:docPr id="5" name="图片 5" descr="f7b1ea4f3d3d14fe6cd3385d9a702b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7b1ea4f3d3d14fe6cd3385d9a702b64"/>
                    <pic:cNvPicPr>
                      <a:picLocks noChangeAspect="1"/>
                    </pic:cNvPicPr>
                  </pic:nvPicPr>
                  <pic:blipFill>
                    <a:blip r:embed="rId4"/>
                    <a:stretch>
                      <a:fillRect/>
                    </a:stretch>
                  </pic:blipFill>
                  <pic:spPr>
                    <a:xfrm>
                      <a:off x="0" y="0"/>
                      <a:ext cx="5273040" cy="2796540"/>
                    </a:xfrm>
                    <a:prstGeom prst="rect">
                      <a:avLst/>
                    </a:prstGeom>
                  </pic:spPr>
                </pic:pic>
              </a:graphicData>
            </a:graphic>
          </wp:inline>
        </w:drawing>
      </w:r>
      <w:r>
        <w:rPr>
          <w:rFonts w:hint="eastAsia"/>
          <w:lang w:val="en-US" w:eastAsia="zh-CN"/>
        </w:rPr>
        <w:t xml:space="preserve">     </w:t>
      </w:r>
      <w:r>
        <w:rPr>
          <w:rFonts w:hint="eastAsia" w:ascii="仿宋_GB2312" w:hAnsi="仿宋_GB2312" w:eastAsia="仿宋_GB2312" w:cs="仿宋_GB2312"/>
          <w:sz w:val="32"/>
          <w:szCs w:val="32"/>
          <w:lang w:val="en-US" w:eastAsia="zh-CN"/>
        </w:rPr>
        <w:t xml:space="preserve">2.输入校园统一认证账号密码完成登录    </w:t>
      </w:r>
      <w:r>
        <w:rPr>
          <w:rFonts w:hint="default"/>
          <w:sz w:val="32"/>
          <w:szCs w:val="32"/>
          <w:lang w:val="en-US" w:eastAsia="zh-CN"/>
        </w:rPr>
        <w:drawing>
          <wp:inline distT="0" distB="0" distL="114300" distR="114300">
            <wp:extent cx="5222240" cy="2753995"/>
            <wp:effectExtent l="0" t="0" r="5080" b="4445"/>
            <wp:docPr id="3" name="图片 3" descr="b3024095b327b7aa4a71fd9b97458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3024095b327b7aa4a71fd9b97458261"/>
                    <pic:cNvPicPr>
                      <a:picLocks noChangeAspect="1"/>
                    </pic:cNvPicPr>
                  </pic:nvPicPr>
                  <pic:blipFill>
                    <a:blip r:embed="rId5"/>
                    <a:stretch>
                      <a:fillRect/>
                    </a:stretch>
                  </pic:blipFill>
                  <pic:spPr>
                    <a:xfrm>
                      <a:off x="0" y="0"/>
                      <a:ext cx="5222240" cy="2753995"/>
                    </a:xfrm>
                    <a:prstGeom prst="rect">
                      <a:avLst/>
                    </a:prstGeom>
                  </pic:spPr>
                </pic:pic>
              </a:graphicData>
            </a:graphic>
          </wp:inline>
        </w:drawing>
      </w:r>
    </w:p>
    <w:p w14:paraId="33D67AF7">
      <w:pPr>
        <w:jc w:val="both"/>
      </w:pPr>
    </w:p>
    <w:p w14:paraId="1E3731EA">
      <w:pPr>
        <w:jc w:val="both"/>
      </w:pPr>
    </w:p>
    <w:p w14:paraId="08E89060">
      <w:pPr>
        <w:jc w:val="both"/>
      </w:pPr>
    </w:p>
    <w:p w14:paraId="4BCE8690">
      <w:pPr>
        <w:jc w:val="both"/>
      </w:pPr>
    </w:p>
    <w:p w14:paraId="74B0E513">
      <w:pPr>
        <w:numPr>
          <w:ilvl w:val="0"/>
          <w:numId w:val="0"/>
        </w:numPr>
        <w:jc w:val="left"/>
        <w:rPr>
          <w:rFonts w:hint="eastAsia" w:ascii="仿宋_GB2312" w:hAnsi="仿宋_GB2312" w:eastAsia="仿宋_GB2312" w:cs="仿宋_GB2312"/>
          <w:sz w:val="32"/>
          <w:szCs w:val="32"/>
          <w:lang w:val="en-US" w:eastAsia="zh-CN"/>
        </w:rPr>
      </w:pPr>
    </w:p>
    <w:p w14:paraId="3671B5F7">
      <w:pPr>
        <w:numPr>
          <w:ilvl w:val="0"/>
          <w:numId w:val="0"/>
        </w:numPr>
        <w:ind w:firstLine="640" w:firstLineChars="200"/>
        <w:jc w:val="both"/>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3.登录后，右上角头像位置，点击进入“个人空间”</w:t>
      </w:r>
    </w:p>
    <w:p w14:paraId="43F669EA">
      <w:pPr>
        <w:jc w:val="both"/>
      </w:pPr>
      <w:r>
        <w:drawing>
          <wp:inline distT="0" distB="0" distL="114300" distR="114300">
            <wp:extent cx="5262245" cy="2546350"/>
            <wp:effectExtent l="0" t="0" r="10795" b="1397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6"/>
                    <a:stretch>
                      <a:fillRect/>
                    </a:stretch>
                  </pic:blipFill>
                  <pic:spPr>
                    <a:xfrm>
                      <a:off x="0" y="0"/>
                      <a:ext cx="5262245" cy="2546350"/>
                    </a:xfrm>
                    <a:prstGeom prst="rect">
                      <a:avLst/>
                    </a:prstGeom>
                    <a:noFill/>
                    <a:ln>
                      <a:noFill/>
                    </a:ln>
                  </pic:spPr>
                </pic:pic>
              </a:graphicData>
            </a:graphic>
          </wp:inline>
        </w:drawing>
      </w:r>
    </w:p>
    <w:p w14:paraId="4E29D31C">
      <w:pPr>
        <w:numPr>
          <w:ilvl w:val="0"/>
          <w:numId w:val="0"/>
        </w:numPr>
        <w:ind w:firstLine="640" w:firstLineChars="200"/>
        <w:jc w:val="both"/>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4.当左上角显示“浙江工业大学（教师发展中心）”可以看到以下界面，如果看不到，在右上角头像位置可以点击“切换单位/角色”，选择“浙江工业大学（教师发展中心）”</w:t>
      </w:r>
    </w:p>
    <w:p w14:paraId="29522647">
      <w:pPr>
        <w:jc w:val="center"/>
      </w:pPr>
      <w:r>
        <w:drawing>
          <wp:inline distT="0" distB="0" distL="114300" distR="114300">
            <wp:extent cx="4704715" cy="2152015"/>
            <wp:effectExtent l="0" t="0" r="4445" b="1206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7"/>
                    <a:stretch>
                      <a:fillRect/>
                    </a:stretch>
                  </pic:blipFill>
                  <pic:spPr>
                    <a:xfrm>
                      <a:off x="0" y="0"/>
                      <a:ext cx="4704715" cy="2152015"/>
                    </a:xfrm>
                    <a:prstGeom prst="rect">
                      <a:avLst/>
                    </a:prstGeom>
                    <a:noFill/>
                    <a:ln>
                      <a:noFill/>
                    </a:ln>
                  </pic:spPr>
                </pic:pic>
              </a:graphicData>
            </a:graphic>
          </wp:inline>
        </w:drawing>
      </w:r>
    </w:p>
    <w:p w14:paraId="36F0C09B">
      <w:pPr>
        <w:jc w:val="center"/>
      </w:pPr>
      <w:r>
        <w:drawing>
          <wp:inline distT="0" distB="0" distL="114300" distR="114300">
            <wp:extent cx="4628515" cy="2112645"/>
            <wp:effectExtent l="0" t="0" r="4445" b="571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8"/>
                    <a:stretch>
                      <a:fillRect/>
                    </a:stretch>
                  </pic:blipFill>
                  <pic:spPr>
                    <a:xfrm>
                      <a:off x="0" y="0"/>
                      <a:ext cx="4628515" cy="2112645"/>
                    </a:xfrm>
                    <a:prstGeom prst="rect">
                      <a:avLst/>
                    </a:prstGeom>
                    <a:noFill/>
                    <a:ln>
                      <a:noFill/>
                    </a:ln>
                  </pic:spPr>
                </pic:pic>
              </a:graphicData>
            </a:graphic>
          </wp:inline>
        </w:drawing>
      </w:r>
    </w:p>
    <w:p w14:paraId="19E6A1EF">
      <w:pPr>
        <w:jc w:val="center"/>
      </w:pPr>
      <w:r>
        <w:drawing>
          <wp:inline distT="0" distB="0" distL="114300" distR="114300">
            <wp:extent cx="5434330" cy="2287270"/>
            <wp:effectExtent l="0" t="0" r="6350" b="1397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9"/>
                    <a:stretch>
                      <a:fillRect/>
                    </a:stretch>
                  </pic:blipFill>
                  <pic:spPr>
                    <a:xfrm>
                      <a:off x="0" y="0"/>
                      <a:ext cx="5434330" cy="2287270"/>
                    </a:xfrm>
                    <a:prstGeom prst="rect">
                      <a:avLst/>
                    </a:prstGeom>
                    <a:noFill/>
                    <a:ln>
                      <a:noFill/>
                    </a:ln>
                  </pic:spPr>
                </pic:pic>
              </a:graphicData>
            </a:graphic>
          </wp:inline>
        </w:drawing>
      </w:r>
    </w:p>
    <w:p w14:paraId="68905425">
      <w:pPr>
        <w:numPr>
          <w:ilvl w:val="0"/>
          <w:numId w:val="0"/>
        </w:numPr>
        <w:ind w:firstLine="640" w:firstLineChars="200"/>
        <w:jc w:val="both"/>
        <w:rPr>
          <w:rFonts w:hint="default" w:ascii="仿宋_GB2312" w:hAnsi="仿宋_GB2312" w:eastAsia="仿宋_GB2312" w:cs="仿宋_GB2312"/>
          <w:color w:val="FF0000"/>
          <w:sz w:val="32"/>
          <w:szCs w:val="32"/>
          <w:lang w:val="en-US" w:eastAsia="zh-CN"/>
        </w:rPr>
      </w:pPr>
      <w:r>
        <w:rPr>
          <w:rFonts w:hint="eastAsia" w:ascii="仿宋_GB2312" w:hAnsi="仿宋_GB2312" w:eastAsia="仿宋_GB2312" w:cs="仿宋_GB2312"/>
          <w:sz w:val="32"/>
          <w:szCs w:val="32"/>
          <w:lang w:val="en-US" w:eastAsia="zh-CN"/>
        </w:rPr>
        <w:t>5.点击左侧菜单</w:t>
      </w:r>
      <w:r>
        <w:rPr>
          <w:rFonts w:hint="eastAsia" w:ascii="仿宋_GB2312" w:hAnsi="仿宋_GB2312" w:eastAsia="仿宋_GB2312" w:cs="仿宋_GB2312"/>
          <w:color w:val="FF0000"/>
          <w:sz w:val="32"/>
          <w:szCs w:val="32"/>
          <w:lang w:val="en-US" w:eastAsia="zh-CN"/>
        </w:rPr>
        <w:t>“审批助手”</w:t>
      </w:r>
      <w:r>
        <w:rPr>
          <w:rFonts w:hint="eastAsia" w:ascii="仿宋_GB2312" w:hAnsi="仿宋_GB2312" w:eastAsia="仿宋_GB2312" w:cs="仿宋_GB2312"/>
          <w:sz w:val="32"/>
          <w:szCs w:val="32"/>
          <w:lang w:val="en-US" w:eastAsia="zh-CN"/>
        </w:rPr>
        <w:t>可以看到以下界面，勾选第一条</w:t>
      </w:r>
      <w:r>
        <w:rPr>
          <w:rFonts w:hint="eastAsia" w:ascii="仿宋_GB2312" w:hAnsi="仿宋_GB2312" w:eastAsia="仿宋_GB2312" w:cs="仿宋_GB2312"/>
          <w:color w:val="FF0000"/>
          <w:sz w:val="32"/>
          <w:szCs w:val="32"/>
          <w:lang w:val="en-US" w:eastAsia="zh-CN"/>
        </w:rPr>
        <w:t>“待我处理”</w:t>
      </w:r>
      <w:r>
        <w:rPr>
          <w:rFonts w:hint="eastAsia" w:ascii="仿宋_GB2312" w:hAnsi="仿宋_GB2312" w:eastAsia="仿宋_GB2312" w:cs="仿宋_GB2312"/>
          <w:sz w:val="32"/>
          <w:szCs w:val="32"/>
          <w:lang w:val="en-US" w:eastAsia="zh-CN"/>
        </w:rPr>
        <w:t>记录，选择</w:t>
      </w:r>
      <w:r>
        <w:rPr>
          <w:rFonts w:hint="eastAsia" w:ascii="仿宋_GB2312" w:hAnsi="仿宋_GB2312" w:eastAsia="仿宋_GB2312" w:cs="仿宋_GB2312"/>
          <w:color w:val="FF0000"/>
          <w:sz w:val="32"/>
          <w:szCs w:val="32"/>
          <w:lang w:val="en-US" w:eastAsia="zh-CN"/>
        </w:rPr>
        <w:t>审批类型“教师实践能力培养（申请）”</w:t>
      </w:r>
      <w:r>
        <w:rPr>
          <w:rFonts w:hint="eastAsia" w:ascii="仿宋_GB2312" w:hAnsi="仿宋_GB2312" w:eastAsia="仿宋_GB2312" w:cs="仿宋_GB2312"/>
          <w:sz w:val="32"/>
          <w:szCs w:val="32"/>
          <w:lang w:val="en-US" w:eastAsia="zh-CN"/>
        </w:rPr>
        <w:t>进行审核。</w:t>
      </w:r>
      <w:r>
        <w:rPr>
          <w:rFonts w:hint="eastAsia" w:ascii="仿宋_GB2312" w:hAnsi="仿宋_GB2312" w:eastAsia="仿宋_GB2312" w:cs="仿宋_GB2312"/>
          <w:color w:val="FF0000"/>
          <w:sz w:val="32"/>
          <w:szCs w:val="32"/>
          <w:lang w:val="en-US" w:eastAsia="zh-CN"/>
        </w:rPr>
        <w:t>勾选该条记录上方会显示“加签”“拒绝”“通过”，注意此处学院分管领导不需要点击操作。</w:t>
      </w:r>
    </w:p>
    <w:p w14:paraId="5A1FDCEC">
      <w:pPr>
        <w:numPr>
          <w:ilvl w:val="0"/>
          <w:numId w:val="0"/>
        </w:numPr>
        <w:jc w:val="center"/>
      </w:pPr>
      <w:r>
        <w:rPr>
          <w:rFonts w:hint="eastAsia"/>
          <w:lang w:val="en-US" w:eastAsia="zh-CN"/>
        </w:rPr>
        <w:t xml:space="preserve">   </w:t>
      </w:r>
      <w:r>
        <w:drawing>
          <wp:inline distT="0" distB="0" distL="114300" distR="114300">
            <wp:extent cx="4496435" cy="2030730"/>
            <wp:effectExtent l="0" t="0" r="14605" b="1143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tretch>
                      <a:fillRect/>
                    </a:stretch>
                  </pic:blipFill>
                  <pic:spPr>
                    <a:xfrm>
                      <a:off x="0" y="0"/>
                      <a:ext cx="4496435" cy="2030730"/>
                    </a:xfrm>
                    <a:prstGeom prst="rect">
                      <a:avLst/>
                    </a:prstGeom>
                    <a:noFill/>
                    <a:ln>
                      <a:noFill/>
                    </a:ln>
                  </pic:spPr>
                </pic:pic>
              </a:graphicData>
            </a:graphic>
          </wp:inline>
        </w:drawing>
      </w:r>
      <w:r>
        <w:rPr>
          <w:rFonts w:hint="eastAsia"/>
          <w:lang w:val="en-US" w:eastAsia="zh-CN"/>
        </w:rPr>
        <w:t xml:space="preserve">         </w:t>
      </w:r>
    </w:p>
    <w:p w14:paraId="38380459">
      <w:pPr>
        <w:numPr>
          <w:ilvl w:val="0"/>
          <w:numId w:val="0"/>
        </w:numPr>
        <w:jc w:val="center"/>
      </w:pPr>
      <w:r>
        <w:rPr>
          <w:rFonts w:hint="eastAsia"/>
          <w:lang w:val="en-US" w:eastAsia="zh-CN"/>
        </w:rPr>
        <w:t xml:space="preserve">   </w:t>
      </w:r>
      <w:r>
        <w:drawing>
          <wp:inline distT="0" distB="0" distL="114300" distR="114300">
            <wp:extent cx="4537075" cy="2095500"/>
            <wp:effectExtent l="0" t="0" r="4445" b="7620"/>
            <wp:docPr id="10" name="图片 10" descr="228277ccc041a4c2ee7e7abaf7241f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28277ccc041a4c2ee7e7abaf7241f8d"/>
                    <pic:cNvPicPr>
                      <a:picLocks noChangeAspect="1"/>
                    </pic:cNvPicPr>
                  </pic:nvPicPr>
                  <pic:blipFill>
                    <a:blip r:embed="rId11"/>
                    <a:stretch>
                      <a:fillRect/>
                    </a:stretch>
                  </pic:blipFill>
                  <pic:spPr>
                    <a:xfrm>
                      <a:off x="0" y="0"/>
                      <a:ext cx="4537075" cy="2095500"/>
                    </a:xfrm>
                    <a:prstGeom prst="rect">
                      <a:avLst/>
                    </a:prstGeom>
                  </pic:spPr>
                </pic:pic>
              </a:graphicData>
            </a:graphic>
          </wp:inline>
        </w:drawing>
      </w:r>
    </w:p>
    <w:p w14:paraId="3847FB8C">
      <w:pPr>
        <w:numPr>
          <w:ilvl w:val="0"/>
          <w:numId w:val="0"/>
        </w:numPr>
        <w:jc w:val="center"/>
      </w:pPr>
      <w:r>
        <w:rPr>
          <w:rFonts w:hint="eastAsia"/>
          <w:lang w:val="en-US" w:eastAsia="zh-CN"/>
        </w:rPr>
        <w:t xml:space="preserve"> </w:t>
      </w:r>
      <w:r>
        <w:drawing>
          <wp:inline distT="0" distB="0" distL="114300" distR="114300">
            <wp:extent cx="5270500" cy="2402840"/>
            <wp:effectExtent l="0" t="0" r="2540" b="508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2"/>
                    <a:stretch>
                      <a:fillRect/>
                    </a:stretch>
                  </pic:blipFill>
                  <pic:spPr>
                    <a:xfrm>
                      <a:off x="0" y="0"/>
                      <a:ext cx="5270500" cy="2402840"/>
                    </a:xfrm>
                    <a:prstGeom prst="rect">
                      <a:avLst/>
                    </a:prstGeom>
                    <a:noFill/>
                    <a:ln>
                      <a:noFill/>
                    </a:ln>
                  </pic:spPr>
                </pic:pic>
              </a:graphicData>
            </a:graphic>
          </wp:inline>
        </w:drawing>
      </w:r>
    </w:p>
    <w:p w14:paraId="6C2F949B">
      <w:pPr>
        <w:numPr>
          <w:ilvl w:val="0"/>
          <w:numId w:val="0"/>
        </w:numPr>
        <w:jc w:val="both"/>
      </w:pPr>
    </w:p>
    <w:p w14:paraId="417514DD">
      <w:pPr>
        <w:numPr>
          <w:ilvl w:val="0"/>
          <w:numId w:val="1"/>
        </w:numPr>
        <w:ind w:firstLine="640" w:firstLineChars="200"/>
        <w:jc w:val="both"/>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FF0000"/>
          <w:sz w:val="32"/>
          <w:szCs w:val="32"/>
          <w:lang w:val="en-US" w:eastAsia="zh-CN"/>
        </w:rPr>
        <w:t>第一步，</w:t>
      </w:r>
      <w:r>
        <w:rPr>
          <w:rFonts w:hint="eastAsia" w:ascii="仿宋_GB2312" w:hAnsi="仿宋_GB2312" w:eastAsia="仿宋_GB2312" w:cs="仿宋_GB2312"/>
          <w:color w:val="auto"/>
          <w:sz w:val="32"/>
          <w:szCs w:val="32"/>
          <w:lang w:val="en-US" w:eastAsia="zh-CN"/>
        </w:rPr>
        <w:t>学院分管领导在此界面可以查看参加实践能力培养教师提交的材料信息，学院的审核意见。学院分管领导在最下方给出“同意/不同意”的终审意见，“不同意”需要填写不同意的原因理由。</w:t>
      </w:r>
      <w:r>
        <w:rPr>
          <w:rFonts w:hint="eastAsia" w:ascii="仿宋_GB2312" w:hAnsi="仿宋_GB2312" w:eastAsia="仿宋_GB2312" w:cs="仿宋_GB2312"/>
          <w:color w:val="FF0000"/>
          <w:sz w:val="32"/>
          <w:szCs w:val="32"/>
          <w:lang w:val="en-US" w:eastAsia="zh-CN"/>
        </w:rPr>
        <w:t>第二步，</w:t>
      </w:r>
      <w:r>
        <w:rPr>
          <w:rFonts w:hint="eastAsia" w:ascii="仿宋_GB2312" w:hAnsi="仿宋_GB2312" w:eastAsia="仿宋_GB2312" w:cs="仿宋_GB2312"/>
          <w:color w:val="auto"/>
          <w:sz w:val="32"/>
          <w:szCs w:val="32"/>
          <w:lang w:val="en-US" w:eastAsia="zh-CN"/>
        </w:rPr>
        <w:t>学院分管领导进行扫码电子签名，完成签字确认，</w:t>
      </w:r>
      <w:r>
        <w:rPr>
          <w:rFonts w:hint="eastAsia" w:ascii="仿宋_GB2312" w:hAnsi="仿宋_GB2312" w:eastAsia="仿宋_GB2312" w:cs="仿宋_GB2312"/>
          <w:color w:val="FF0000"/>
          <w:sz w:val="32"/>
          <w:szCs w:val="32"/>
          <w:lang w:val="en-US" w:eastAsia="zh-CN"/>
        </w:rPr>
        <w:t>第三步，</w:t>
      </w:r>
      <w:r>
        <w:rPr>
          <w:rFonts w:hint="eastAsia" w:ascii="仿宋_GB2312" w:hAnsi="仿宋_GB2312" w:eastAsia="仿宋_GB2312" w:cs="仿宋_GB2312"/>
          <w:color w:val="auto"/>
          <w:sz w:val="32"/>
          <w:szCs w:val="32"/>
          <w:lang w:val="en-US" w:eastAsia="zh-CN"/>
        </w:rPr>
        <w:t>点击“同意”后，方能提交至学校教师发展中心备案。点击“拒绝”后，退回至申请人，教师重新发起申请</w:t>
      </w:r>
      <w:bookmarkStart w:id="0" w:name="_GoBack"/>
      <w:bookmarkEnd w:id="0"/>
    </w:p>
    <w:p w14:paraId="57CDB163">
      <w:pPr>
        <w:numPr>
          <w:ilvl w:val="0"/>
          <w:numId w:val="0"/>
        </w:numPr>
        <w:jc w:val="both"/>
        <w:rPr>
          <w:rFonts w:hint="default" w:ascii="仿宋_GB2312" w:hAnsi="仿宋_GB2312" w:eastAsia="仿宋_GB2312" w:cs="仿宋_GB2312"/>
          <w:color w:val="auto"/>
          <w:sz w:val="32"/>
          <w:szCs w:val="32"/>
          <w:lang w:val="en-US" w:eastAsia="zh-CN"/>
        </w:rPr>
      </w:pPr>
      <w:r>
        <w:rPr>
          <w:rFonts w:hint="eastAsia" w:eastAsiaTheme="minorEastAsia"/>
          <w:lang w:eastAsia="zh-CN"/>
        </w:rPr>
        <w:drawing>
          <wp:inline distT="0" distB="0" distL="114300" distR="114300">
            <wp:extent cx="5268595" cy="3058795"/>
            <wp:effectExtent l="0" t="0" r="4445" b="4445"/>
            <wp:docPr id="13" name="图片 13" descr="cc5b7e6c7872fca71756119e7a54a5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c5b7e6c7872fca71756119e7a54a5aa"/>
                    <pic:cNvPicPr>
                      <a:picLocks noChangeAspect="1"/>
                    </pic:cNvPicPr>
                  </pic:nvPicPr>
                  <pic:blipFill>
                    <a:blip r:embed="rId13"/>
                    <a:stretch>
                      <a:fillRect/>
                    </a:stretch>
                  </pic:blipFill>
                  <pic:spPr>
                    <a:xfrm>
                      <a:off x="0" y="0"/>
                      <a:ext cx="5268595" cy="3058795"/>
                    </a:xfrm>
                    <a:prstGeom prst="rect">
                      <a:avLst/>
                    </a:prstGeom>
                  </pic:spPr>
                </pic:pic>
              </a:graphicData>
            </a:graphic>
          </wp:inline>
        </w:drawing>
      </w:r>
    </w:p>
    <w:p w14:paraId="1E98188A">
      <w:pPr>
        <w:numPr>
          <w:ilvl w:val="0"/>
          <w:numId w:val="0"/>
        </w:numPr>
        <w:jc w:val="both"/>
      </w:pPr>
    </w:p>
    <w:p w14:paraId="4B93F57A">
      <w:pPr>
        <w:numPr>
          <w:ilvl w:val="0"/>
          <w:numId w:val="0"/>
        </w:numPr>
        <w:jc w:val="both"/>
      </w:pPr>
      <w:r>
        <w:rPr>
          <w:rFonts w:hint="eastAsia" w:eastAsiaTheme="minorEastAsia"/>
          <w:lang w:eastAsia="zh-CN"/>
        </w:rPr>
        <w:drawing>
          <wp:inline distT="0" distB="0" distL="114300" distR="114300">
            <wp:extent cx="5273040" cy="3042920"/>
            <wp:effectExtent l="0" t="0" r="0" b="5080"/>
            <wp:docPr id="12" name="图片 12" descr="b6b7042451998da574dbb1ce8815c8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b6b7042451998da574dbb1ce8815c8c5"/>
                    <pic:cNvPicPr>
                      <a:picLocks noChangeAspect="1"/>
                    </pic:cNvPicPr>
                  </pic:nvPicPr>
                  <pic:blipFill>
                    <a:blip r:embed="rId14"/>
                    <a:stretch>
                      <a:fillRect/>
                    </a:stretch>
                  </pic:blipFill>
                  <pic:spPr>
                    <a:xfrm>
                      <a:off x="0" y="0"/>
                      <a:ext cx="5273040" cy="3042920"/>
                    </a:xfrm>
                    <a:prstGeom prst="rect">
                      <a:avLst/>
                    </a:prstGeom>
                  </pic:spPr>
                </pic:pic>
              </a:graphicData>
            </a:graphic>
          </wp:inline>
        </w:drawing>
      </w:r>
    </w:p>
    <w:p w14:paraId="13F43DBC">
      <w:pPr>
        <w:numPr>
          <w:ilvl w:val="0"/>
          <w:numId w:val="0"/>
        </w:numPr>
        <w:jc w:val="both"/>
      </w:pPr>
    </w:p>
    <w:p w14:paraId="482F862F">
      <w:pPr>
        <w:numPr>
          <w:ilvl w:val="0"/>
          <w:numId w:val="0"/>
        </w:numPr>
        <w:ind w:firstLine="640" w:firstLineChars="200"/>
        <w:jc w:val="left"/>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7.学院分管领导可以点击左侧菜单</w:t>
      </w:r>
      <w:r>
        <w:rPr>
          <w:rFonts w:hint="eastAsia" w:ascii="仿宋_GB2312" w:hAnsi="仿宋_GB2312" w:eastAsia="仿宋_GB2312" w:cs="仿宋_GB2312"/>
          <w:color w:val="FF0000"/>
          <w:sz w:val="32"/>
          <w:szCs w:val="32"/>
          <w:lang w:val="en-US" w:eastAsia="zh-CN"/>
        </w:rPr>
        <w:t>“审批助手”</w:t>
      </w:r>
      <w:r>
        <w:rPr>
          <w:rFonts w:hint="eastAsia" w:ascii="仿宋_GB2312" w:hAnsi="仿宋_GB2312" w:eastAsia="仿宋_GB2312" w:cs="仿宋_GB2312"/>
          <w:sz w:val="32"/>
          <w:szCs w:val="32"/>
          <w:lang w:val="en-US" w:eastAsia="zh-CN"/>
        </w:rPr>
        <w:t>，点击</w:t>
      </w:r>
      <w:r>
        <w:rPr>
          <w:rFonts w:hint="eastAsia" w:ascii="仿宋_GB2312" w:hAnsi="仿宋_GB2312" w:eastAsia="仿宋_GB2312" w:cs="仿宋_GB2312"/>
          <w:color w:val="FF0000"/>
          <w:sz w:val="32"/>
          <w:szCs w:val="32"/>
          <w:lang w:val="en-US" w:eastAsia="zh-CN"/>
        </w:rPr>
        <w:t>“我已处理”</w:t>
      </w:r>
      <w:r>
        <w:rPr>
          <w:rFonts w:hint="eastAsia" w:ascii="仿宋_GB2312" w:hAnsi="仿宋_GB2312" w:eastAsia="仿宋_GB2312" w:cs="仿宋_GB2312"/>
          <w:sz w:val="32"/>
          <w:szCs w:val="32"/>
          <w:lang w:val="en-US" w:eastAsia="zh-CN"/>
        </w:rPr>
        <w:t>一栏，查看后续流程审核状态</w:t>
      </w:r>
      <w:r>
        <w:drawing>
          <wp:inline distT="0" distB="0" distL="114300" distR="114300">
            <wp:extent cx="5311775" cy="2427605"/>
            <wp:effectExtent l="0" t="0" r="6985" b="1079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5"/>
                    <a:stretch>
                      <a:fillRect/>
                    </a:stretch>
                  </pic:blipFill>
                  <pic:spPr>
                    <a:xfrm>
                      <a:off x="0" y="0"/>
                      <a:ext cx="5311775" cy="2427605"/>
                    </a:xfrm>
                    <a:prstGeom prst="rect">
                      <a:avLst/>
                    </a:prstGeom>
                    <a:noFill/>
                    <a:ln>
                      <a:noFill/>
                    </a:ln>
                  </pic:spPr>
                </pic:pic>
              </a:graphicData>
            </a:graphic>
          </wp:inline>
        </w:drawing>
      </w:r>
    </w:p>
    <w:p w14:paraId="46B168FF">
      <w:pPr>
        <w:numPr>
          <w:ilvl w:val="0"/>
          <w:numId w:val="0"/>
        </w:numPr>
        <w:ind w:firstLine="640" w:firstLineChars="200"/>
        <w:jc w:val="left"/>
        <w:rPr>
          <w:rFonts w:hint="eastAsia" w:eastAsiaTheme="minorEastAsia"/>
          <w:lang w:val="en-US" w:eastAsia="zh-CN"/>
        </w:rPr>
      </w:pPr>
      <w:r>
        <w:rPr>
          <w:rFonts w:hint="eastAsia" w:ascii="仿宋_GB2312" w:hAnsi="仿宋_GB2312" w:eastAsia="仿宋_GB2312" w:cs="仿宋_GB2312"/>
          <w:sz w:val="32"/>
          <w:szCs w:val="32"/>
          <w:lang w:val="en-US" w:eastAsia="zh-CN"/>
        </w:rPr>
        <w:t>8.学院分管领导操作到此结束</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25BE337"/>
    <w:multiLevelType w:val="singleLevel"/>
    <w:tmpl w:val="125BE337"/>
    <w:lvl w:ilvl="0" w:tentative="0">
      <w:start w:val="6"/>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D4559FC"/>
    <w:rsid w:val="10992CCA"/>
    <w:rsid w:val="222B537A"/>
    <w:rsid w:val="31C06493"/>
    <w:rsid w:val="36614AC9"/>
    <w:rsid w:val="42694D52"/>
    <w:rsid w:val="4A29417D"/>
    <w:rsid w:val="515038AA"/>
    <w:rsid w:val="5C304FFA"/>
    <w:rsid w:val="620320AB"/>
    <w:rsid w:val="65B60BEC"/>
    <w:rsid w:val="689C09B0"/>
    <w:rsid w:val="6C9D3176"/>
    <w:rsid w:val="6E6F19A7"/>
    <w:rsid w:val="7A8C39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Hyperlink"/>
    <w:basedOn w:val="3"/>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468</Words>
  <Characters>502</Characters>
  <Lines>0</Lines>
  <Paragraphs>0</Paragraphs>
  <TotalTime>0</TotalTime>
  <ScaleCrop>false</ScaleCrop>
  <LinksUpToDate>false</LinksUpToDate>
  <CharactersWithSpaces>528</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2026-01-19T00:20:00Z</dcterms:created>
  <dc:creator>HP</dc:creator>
  <cp:lastModifiedBy>孟轩</cp:lastModifiedBy>
  <dcterms:modified xsi:type="dcterms:W3CDTF">2026-01-20T03:39:18Z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DocerSaveRecord">
    <vt:lpwstr>eyJoZGlkIjoiNDM2YWY0ZGI1YmQyM2IzMzE3MDgzNGI0MTg4MDYwZmEiLCJ1c2VySWQiOiIxNjcwNDUxODUzIn0=</vt:lpwstr>
  </property>
  <property fmtid="{D5CDD505-2E9C-101B-9397-08002B2CF9AE}" pid="4" name="ICV">
    <vt:lpwstr>74CED6D08E954F3E8D5436EC432F3813_13</vt:lpwstr>
  </property>
</Properties>
</file>