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56"/>
        <w:jc w:val="center"/>
        <w:rPr>
          <w:rFonts w:hint="eastAsia" w:asciiTheme="majorEastAsia" w:hAnsiTheme="majorEastAsia" w:eastAsiaTheme="majorEastAsia" w:cstheme="majorEastAsia"/>
          <w:b/>
          <w:bCs w:val="0"/>
        </w:rPr>
      </w:pPr>
      <w:bookmarkStart w:id="0" w:name="_Toc30422"/>
      <w:bookmarkStart w:id="1" w:name="杭州市滨江区浙工大网络空间安全创新研究院创新创业团队管理办法"/>
      <w:r>
        <w:rPr>
          <w:rFonts w:hint="eastAsia" w:asciiTheme="majorEastAsia" w:hAnsiTheme="majorEastAsia" w:eastAsiaTheme="majorEastAsia" w:cstheme="majorEastAsia"/>
          <w:b/>
          <w:bCs w:val="0"/>
        </w:rPr>
        <w:t>杭州市滨江区浙工大网络空间安全创新</w:t>
      </w:r>
    </w:p>
    <w:p>
      <w:pPr>
        <w:pStyle w:val="5"/>
        <w:spacing w:before="156"/>
        <w:jc w:val="center"/>
        <w:rPr>
          <w:rFonts w:hint="eastAsia" w:asciiTheme="majorEastAsia" w:hAnsiTheme="majorEastAsia" w:eastAsiaTheme="majorEastAsia" w:cstheme="majorEastAsia"/>
          <w:b/>
          <w:bCs w:val="0"/>
        </w:rPr>
      </w:pPr>
      <w:r>
        <w:rPr>
          <w:rFonts w:hint="eastAsia" w:asciiTheme="majorEastAsia" w:hAnsiTheme="majorEastAsia" w:eastAsiaTheme="majorEastAsia" w:cstheme="majorEastAsia"/>
          <w:b/>
          <w:bCs w:val="0"/>
        </w:rPr>
        <w:t>研究院创新创业团队管理办法</w:t>
      </w:r>
      <w:bookmarkEnd w:id="0"/>
    </w:p>
    <w:bookmarkEnd w:id="1"/>
    <w:p>
      <w:pPr>
        <w:spacing w:line="360" w:lineRule="auto"/>
        <w:ind w:left="0" w:leftChars="0" w:firstLine="0" w:firstLineChars="0"/>
        <w:jc w:val="left"/>
        <w:rPr>
          <w:rFonts w:hint="default" w:ascii="Times New Roman" w:hAnsi="Times New Roman" w:eastAsia="仿宋_GB2312" w:cs="Times New Roman"/>
          <w:color w:val="auto"/>
          <w:kern w:val="2"/>
          <w:sz w:val="24"/>
          <w:szCs w:val="24"/>
          <w:lang w:val="en-US" w:eastAsia="zh-CN" w:bidi="ar-SA"/>
        </w:rPr>
      </w:pPr>
    </w:p>
    <w:p>
      <w:pPr>
        <w:ind w:firstLine="640" w:firstLineChars="200"/>
        <w:rPr>
          <w:rFonts w:hint="eastAsia"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sz w:val="32"/>
          <w:szCs w:val="32"/>
        </w:rPr>
        <w:t>为鼓励</w:t>
      </w:r>
      <w:r>
        <w:rPr>
          <w:rFonts w:hint="eastAsia" w:ascii="仿宋_GB2312" w:hAnsi="仿宋_GB2312" w:eastAsia="仿宋_GB2312" w:cs="仿宋_GB2312"/>
          <w:sz w:val="32"/>
          <w:szCs w:val="32"/>
          <w:lang w:val="en-US" w:eastAsia="zh-CN"/>
        </w:rPr>
        <w:t>高校科研团队、高层次人才到</w:t>
      </w:r>
      <w:r>
        <w:rPr>
          <w:rFonts w:hint="eastAsia" w:ascii="仿宋_GB2312" w:hAnsi="仿宋_GB2312" w:eastAsia="仿宋_GB2312" w:cs="仿宋_GB2312"/>
          <w:sz w:val="32"/>
          <w:szCs w:val="32"/>
        </w:rPr>
        <w:t>杭州市滨江区浙工大网络空间安全创新研究院（以下简称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开展创新创业</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Cs w:val="32"/>
          <w:lang w:val="en-US" w:eastAsia="zh-CN"/>
        </w:rPr>
        <w:t>对接滨江优势产业，实现校企协同发展，为滨江发展注入新的活力，</w:t>
      </w:r>
      <w:r>
        <w:rPr>
          <w:rFonts w:hint="eastAsia" w:ascii="仿宋_GB2312" w:hAnsi="仿宋_GB2312" w:eastAsia="仿宋_GB2312" w:cs="仿宋_GB2312"/>
          <w:sz w:val="32"/>
          <w:szCs w:val="32"/>
          <w:lang w:val="en-US" w:eastAsia="zh-CN"/>
        </w:rPr>
        <w:t>特制定本办法。</w:t>
      </w:r>
      <w:r>
        <w:rPr>
          <w:rFonts w:hint="eastAsia" w:ascii="仿宋_GB2312" w:hAnsi="仿宋_GB2312" w:eastAsia="仿宋_GB2312" w:cs="仿宋_GB2312"/>
          <w:i w:val="0"/>
          <w:iCs w:val="0"/>
          <w:caps w:val="0"/>
          <w:color w:val="000000"/>
          <w:spacing w:val="8"/>
          <w:sz w:val="32"/>
          <w:szCs w:val="32"/>
          <w:shd w:val="clear" w:fill="FFFFFF"/>
          <w:lang w:val="en-US" w:eastAsia="zh-CN"/>
        </w:rPr>
        <w:t>本办法适用于所有经过研究院相关程序遴选，入驻研究院的创新创业团队。</w:t>
      </w:r>
    </w:p>
    <w:p>
      <w:pPr>
        <w:numPr>
          <w:ilvl w:val="0"/>
          <w:numId w:val="0"/>
        </w:numPr>
        <w:ind w:firstLine="675" w:firstLineChars="200"/>
        <w:jc w:val="both"/>
        <w:rPr>
          <w:rFonts w:hint="eastAsia" w:ascii="仿宋_GB2312" w:hAnsi="仿宋_GB2312" w:eastAsia="仿宋_GB2312" w:cs="仿宋_GB2312"/>
          <w:b/>
          <w:bCs/>
          <w:i w:val="0"/>
          <w:iCs w:val="0"/>
          <w:caps w:val="0"/>
          <w:color w:val="000000"/>
          <w:spacing w:val="8"/>
          <w:sz w:val="32"/>
          <w:szCs w:val="32"/>
          <w:shd w:val="clear" w:fill="FFFFFF"/>
          <w:lang w:val="en-US" w:eastAsia="zh-CN"/>
        </w:rPr>
      </w:pPr>
      <w:r>
        <w:rPr>
          <w:rFonts w:hint="eastAsia" w:ascii="仿宋_GB2312" w:hAnsi="仿宋_GB2312" w:eastAsia="仿宋_GB2312" w:cs="仿宋_GB2312"/>
          <w:b/>
          <w:bCs/>
          <w:i w:val="0"/>
          <w:iCs w:val="0"/>
          <w:caps w:val="0"/>
          <w:color w:val="000000"/>
          <w:spacing w:val="8"/>
          <w:sz w:val="32"/>
          <w:szCs w:val="32"/>
          <w:shd w:val="clear" w:fill="FFFFFF"/>
          <w:lang w:val="en-US" w:eastAsia="zh-CN"/>
        </w:rPr>
        <w:t>第一条 各方职责</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1.1研</w:t>
      </w:r>
      <w:r>
        <w:rPr>
          <w:rFonts w:hint="eastAsia" w:ascii="仿宋_GB2312" w:hAnsi="仿宋_GB2312" w:eastAsia="仿宋_GB2312" w:cs="仿宋_GB2312"/>
          <w:b w:val="0"/>
          <w:bCs w:val="0"/>
          <w:color w:val="auto"/>
          <w:sz w:val="32"/>
          <w:szCs w:val="32"/>
          <w:lang w:val="en-US" w:eastAsia="zh-CN"/>
        </w:rPr>
        <w:t>究院成立</w:t>
      </w:r>
      <w:r>
        <w:rPr>
          <w:rFonts w:hint="eastAsia" w:ascii="仿宋_GB2312" w:hAnsi="仿宋_GB2312" w:eastAsia="仿宋_GB2312" w:cs="仿宋_GB2312"/>
          <w:b w:val="0"/>
          <w:bCs w:val="0"/>
          <w:i w:val="0"/>
          <w:iCs w:val="0"/>
          <w:color w:val="auto"/>
          <w:sz w:val="32"/>
          <w:szCs w:val="32"/>
          <w:lang w:val="en-US" w:eastAsia="zh-CN"/>
        </w:rPr>
        <w:t>工作领导小组</w:t>
      </w:r>
      <w:r>
        <w:rPr>
          <w:rFonts w:hint="eastAsia" w:ascii="仿宋_GB2312" w:hAnsi="仿宋_GB2312" w:eastAsia="仿宋_GB2312" w:cs="仿宋_GB2312"/>
          <w:b w:val="0"/>
          <w:bCs w:val="0"/>
          <w:color w:val="auto"/>
          <w:sz w:val="32"/>
          <w:szCs w:val="32"/>
          <w:lang w:val="en-US" w:eastAsia="zh-CN"/>
        </w:rPr>
        <w:t>负责领导和统筹创新创业团队的引进工作，审核年度引进工作计划，确定引进创新创业团队的层次、评审标准和资助标准，审定引进名单，研究解决引进工作中的重大问题。</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val="en-US" w:eastAsia="zh-CN"/>
        </w:rPr>
        <w:t>评审专家组负责团队的评审，给出专业化发展建议，专家组成员由研究院院长、副院长、院聘专家顾问团组成，一般为5人或7人。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办公室负责创新创业团队引进工作的具体落实，包括科研及办公场地安排、人员招聘、设施设备采购、日常对接与管理、调用各种资源提供力所能及的各项支持；财务部负责资金安排、独立核算、成本分析等工作，提供必要的财税支持服务。</w:t>
      </w:r>
    </w:p>
    <w:p>
      <w:pPr>
        <w:numPr>
          <w:ilvl w:val="0"/>
          <w:numId w:val="0"/>
        </w:numPr>
        <w:ind w:firstLine="640" w:firstLineChars="200"/>
        <w:rPr>
          <w:rFonts w:hint="eastAsia"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团队负责按照双方签订的《创新创业团队资助项目协议》规划路径，开展科研创新工作，达成既定目标。</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第二条 入驻条件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2.1面向方向</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a）符合研究院最新公布研究领域范围要求；</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b）有产品研发或者已有产品落地需求，或者通过研究院平台跟滨江区优势企业深入合作意向；</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c）团队主要成员人事关系应在高校或科研院所；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d）团队从事研究、开发、生产的项目或产品应属于《国家重点支持的高新技术领域》(见《高新技术企业认定管理办法》)范围，或符合本区经济发展需求的新技术、新产品。</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2.2面向对象</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a）团队主要负责人拥有博士及以上学历且在知名高校、科研机构从事科研工作三年以上或拥有硕士学历且在行业头部企业中担任中层以上职位，从事科研工作三年及以上；</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b）在从事的科研领域已取得一定的科研成果，有清晰的科研工作或者产业化运作规划；</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c）熟悉相关领域产业运行规则，有较强的经营管理和创新创业能力；</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d）浙江工业大学背景的团队或与研究院</w:t>
      </w:r>
      <w:r>
        <w:rPr>
          <w:rFonts w:hint="eastAsia" w:ascii="仿宋_GB2312" w:hAnsi="仿宋_GB2312" w:cs="仿宋_GB2312"/>
          <w:sz w:val="32"/>
          <w:szCs w:val="32"/>
          <w:lang w:val="en-US" w:eastAsia="zh-CN"/>
        </w:rPr>
        <w:t>面向</w:t>
      </w:r>
      <w:r>
        <w:rPr>
          <w:rFonts w:hint="eastAsia" w:ascii="仿宋_GB2312" w:hAnsi="仿宋_GB2312" w:eastAsia="仿宋_GB2312" w:cs="仿宋_GB2312"/>
          <w:sz w:val="32"/>
          <w:szCs w:val="32"/>
          <w:lang w:val="en-US" w:eastAsia="zh-CN"/>
        </w:rPr>
        <w:t>方向高度匹配的团队可以适当放宽条件，一事一议。</w:t>
      </w:r>
      <w:bookmarkStart w:id="2" w:name="_GoBack"/>
      <w:bookmarkEnd w:id="2"/>
    </w:p>
    <w:p>
      <w:pPr>
        <w:jc w:val="both"/>
        <w:rPr>
          <w:rFonts w:hint="eastAsia" w:ascii="仿宋_GB2312" w:hAnsi="仿宋_GB2312" w:eastAsia="仿宋_GB2312" w:cs="仿宋_GB2312"/>
          <w:b/>
          <w:bCs/>
          <w:i w:val="0"/>
          <w:iCs w:val="0"/>
          <w:caps w:val="0"/>
          <w:color w:val="000000"/>
          <w:spacing w:val="8"/>
          <w:sz w:val="32"/>
          <w:szCs w:val="32"/>
          <w:shd w:val="clear" w:fill="FFFFFF"/>
          <w:lang w:val="en-US" w:eastAsia="zh-CN"/>
        </w:rPr>
      </w:pPr>
      <w:r>
        <w:rPr>
          <w:rFonts w:hint="eastAsia" w:ascii="仿宋_GB2312" w:hAnsi="仿宋_GB2312" w:eastAsia="仿宋_GB2312" w:cs="仿宋_GB2312"/>
          <w:b/>
          <w:bCs/>
          <w:i w:val="0"/>
          <w:iCs w:val="0"/>
          <w:caps w:val="0"/>
          <w:color w:val="000000"/>
          <w:spacing w:val="8"/>
          <w:sz w:val="32"/>
          <w:szCs w:val="32"/>
          <w:shd w:val="clear" w:fill="FFFFFF"/>
          <w:lang w:val="en-US" w:eastAsia="zh-CN"/>
        </w:rPr>
        <w:t>第三条 团队入驻程序：</w:t>
      </w:r>
    </w:p>
    <w:p>
      <w:pPr>
        <w:jc w:val="both"/>
        <w:rPr>
          <w:rFonts w:hint="eastAsia"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i w:val="0"/>
          <w:iCs w:val="0"/>
          <w:caps w:val="0"/>
          <w:color w:val="000000"/>
          <w:spacing w:val="8"/>
          <w:sz w:val="32"/>
          <w:szCs w:val="32"/>
          <w:shd w:val="clear" w:fill="FFFFFF"/>
          <w:lang w:val="en-US" w:eastAsia="zh-CN"/>
        </w:rPr>
        <w:t>3.1</w:t>
      </w:r>
      <w:r>
        <w:rPr>
          <w:rFonts w:hint="eastAsia" w:ascii="仿宋_GB2312" w:hAnsi="仿宋_GB2312" w:eastAsia="仿宋_GB2312" w:cs="仿宋_GB2312"/>
          <w:sz w:val="32"/>
          <w:szCs w:val="32"/>
          <w:lang w:val="en-US" w:eastAsia="zh-CN"/>
        </w:rPr>
        <w:t>项目申请</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有意向入驻研究院的团队，可以向研究院办公室提交《创新创业资助项目申请书》；</w:t>
      </w:r>
    </w:p>
    <w:p>
      <w:pPr>
        <w:jc w:val="both"/>
        <w:rPr>
          <w:rFonts w:hint="eastAsia"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i w:val="0"/>
          <w:iCs w:val="0"/>
          <w:caps w:val="0"/>
          <w:color w:val="000000"/>
          <w:spacing w:val="8"/>
          <w:sz w:val="32"/>
          <w:szCs w:val="32"/>
          <w:shd w:val="clear" w:fill="FFFFFF"/>
          <w:lang w:val="en-US" w:eastAsia="zh-CN"/>
        </w:rPr>
        <w:t>3.2形式审查</w:t>
      </w:r>
    </w:p>
    <w:p>
      <w:pPr>
        <w:jc w:val="both"/>
        <w:rPr>
          <w:rFonts w:hint="eastAsia"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i w:val="0"/>
          <w:iCs w:val="0"/>
          <w:caps w:val="0"/>
          <w:color w:val="000000"/>
          <w:spacing w:val="8"/>
          <w:sz w:val="32"/>
          <w:szCs w:val="32"/>
          <w:shd w:val="clear" w:fill="FFFFFF"/>
          <w:lang w:val="en-US" w:eastAsia="zh-CN"/>
        </w:rPr>
        <w:t>办公室在收到申请书后，会同</w:t>
      </w:r>
      <w:r>
        <w:rPr>
          <w:rFonts w:hint="eastAsia" w:ascii="仿宋_GB2312" w:hAnsi="仿宋_GB2312" w:eastAsia="仿宋_GB2312" w:cs="仿宋_GB2312"/>
          <w:b w:val="0"/>
          <w:bCs w:val="0"/>
          <w:color w:val="auto"/>
          <w:sz w:val="32"/>
          <w:szCs w:val="32"/>
          <w:lang w:val="en-US" w:eastAsia="zh-CN"/>
        </w:rPr>
        <w:t>评审专家组成员</w:t>
      </w:r>
      <w:r>
        <w:rPr>
          <w:rFonts w:hint="eastAsia" w:ascii="仿宋_GB2312" w:hAnsi="仿宋_GB2312" w:eastAsia="仿宋_GB2312" w:cs="仿宋_GB2312"/>
          <w:i w:val="0"/>
          <w:iCs w:val="0"/>
          <w:caps w:val="0"/>
          <w:color w:val="000000"/>
          <w:spacing w:val="8"/>
          <w:sz w:val="32"/>
          <w:szCs w:val="32"/>
          <w:shd w:val="clear" w:fill="FFFFFF"/>
          <w:lang w:val="en-US" w:eastAsia="zh-CN"/>
        </w:rPr>
        <w:t>进行形式审查，安排通过形式审查的团队参加线下评审会。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3.3线下评审</w:t>
      </w:r>
    </w:p>
    <w:p>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院组织召开评审会议，团队向专家组成员介绍项目背景和意义、拟解决的关键科学和技术问题、研究目标和内容、研究方案、预期成果等，专家组通过听取汇报、审阅申请书，对方案进行评审，最终集体商议，择优资助。</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3.4协议签订</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研究院与</w:t>
      </w:r>
      <w:r>
        <w:rPr>
          <w:rFonts w:hint="eastAsia" w:ascii="仿宋_GB2312" w:hAnsi="仿宋_GB2312" w:cs="仿宋_GB2312"/>
          <w:sz w:val="32"/>
          <w:szCs w:val="32"/>
          <w:lang w:val="en-US" w:eastAsia="zh-CN"/>
        </w:rPr>
        <w:t>通过评审团队</w:t>
      </w:r>
      <w:r>
        <w:rPr>
          <w:rFonts w:hint="eastAsia" w:ascii="仿宋_GB2312" w:hAnsi="仿宋_GB2312" w:eastAsia="仿宋_GB2312" w:cs="仿宋_GB2312"/>
          <w:sz w:val="32"/>
          <w:szCs w:val="32"/>
          <w:lang w:val="en-US" w:eastAsia="zh-CN"/>
        </w:rPr>
        <w:t>签</w:t>
      </w:r>
      <w:r>
        <w:rPr>
          <w:rFonts w:hint="eastAsia" w:ascii="仿宋_GB2312" w:hAnsi="仿宋_GB2312" w:cs="仿宋_GB2312"/>
          <w:sz w:val="32"/>
          <w:szCs w:val="32"/>
          <w:lang w:val="en-US" w:eastAsia="zh-CN"/>
        </w:rPr>
        <w:t>订</w:t>
      </w:r>
      <w:r>
        <w:rPr>
          <w:rFonts w:hint="eastAsia" w:ascii="仿宋_GB2312" w:hAnsi="仿宋_GB2312" w:eastAsia="仿宋_GB2312" w:cs="仿宋_GB2312"/>
          <w:sz w:val="32"/>
          <w:szCs w:val="32"/>
          <w:lang w:val="en-US" w:eastAsia="zh-CN"/>
        </w:rPr>
        <w:t>《创新创业团队资助项目协议》，资助期一般为三年，到期后重新评审。</w:t>
      </w:r>
    </w:p>
    <w:p>
      <w:pPr>
        <w:numPr>
          <w:ilvl w:val="0"/>
          <w:numId w:val="0"/>
        </w:numPr>
        <w:ind w:firstLine="675"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i w:val="0"/>
          <w:iCs w:val="0"/>
          <w:caps w:val="0"/>
          <w:color w:val="000000"/>
          <w:spacing w:val="8"/>
          <w:sz w:val="32"/>
          <w:szCs w:val="32"/>
          <w:shd w:val="clear" w:fill="FFFFFF"/>
          <w:lang w:val="en-US" w:eastAsia="zh-CN"/>
        </w:rPr>
        <w:t>第四条 获得的支持</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（1）三年资助期，不高于150万的资金资助，以双方签订的协议为准，经费的使用参照研究院相关制度执行。</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提供免费的科研及办公场地；共享研究院办公配套，包括培训室、洽谈室、会议室、班车。</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提供概念验证、成果转化、企业孵化等创新创业服务。</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提供标准化的人力资源及行政后勤保障，人力资源服务：员工劳动关系管理、招聘管理、培训组织、薪酬及福利管理等；行政后勤保障：物资采购、设施设备管理、各项后勤保障等。</w:t>
      </w:r>
    </w:p>
    <w:p>
      <w:pPr>
        <w:numPr>
          <w:ilvl w:val="0"/>
          <w:numId w:val="0"/>
        </w:numPr>
        <w:ind w:firstLine="675" w:firstLineChars="200"/>
        <w:rPr>
          <w:rFonts w:hint="eastAsia" w:ascii="仿宋_GB2312" w:hAnsi="仿宋_GB2312" w:eastAsia="仿宋_GB2312" w:cs="仿宋_GB2312"/>
          <w:b/>
          <w:bCs/>
          <w:i w:val="0"/>
          <w:iCs w:val="0"/>
          <w:caps w:val="0"/>
          <w:color w:val="000000"/>
          <w:spacing w:val="8"/>
          <w:sz w:val="32"/>
          <w:szCs w:val="32"/>
          <w:shd w:val="clear" w:fill="FFFFFF"/>
          <w:lang w:val="en-US" w:eastAsia="zh-CN"/>
        </w:rPr>
      </w:pPr>
      <w:r>
        <w:rPr>
          <w:rFonts w:hint="eastAsia" w:ascii="仿宋_GB2312" w:hAnsi="仿宋_GB2312" w:eastAsia="仿宋_GB2312" w:cs="仿宋_GB2312"/>
          <w:b/>
          <w:bCs/>
          <w:i w:val="0"/>
          <w:iCs w:val="0"/>
          <w:caps w:val="0"/>
          <w:color w:val="000000"/>
          <w:spacing w:val="8"/>
          <w:sz w:val="32"/>
          <w:szCs w:val="32"/>
          <w:shd w:val="clear" w:fill="FFFFFF"/>
          <w:lang w:val="en-US" w:eastAsia="zh-CN"/>
        </w:rPr>
        <w:t>第</w:t>
      </w:r>
      <w:r>
        <w:rPr>
          <w:rFonts w:hint="eastAsia" w:ascii="仿宋_GB2312" w:hAnsi="仿宋_GB2312" w:cs="仿宋_GB2312"/>
          <w:b/>
          <w:bCs/>
          <w:i w:val="0"/>
          <w:iCs w:val="0"/>
          <w:caps w:val="0"/>
          <w:color w:val="000000"/>
          <w:spacing w:val="8"/>
          <w:sz w:val="32"/>
          <w:szCs w:val="32"/>
          <w:shd w:val="clear" w:fill="FFFFFF"/>
          <w:lang w:val="en-US" w:eastAsia="zh-CN"/>
        </w:rPr>
        <w:t>五</w:t>
      </w:r>
      <w:r>
        <w:rPr>
          <w:rFonts w:hint="eastAsia" w:ascii="仿宋_GB2312" w:hAnsi="仿宋_GB2312" w:eastAsia="仿宋_GB2312" w:cs="仿宋_GB2312"/>
          <w:b/>
          <w:bCs/>
          <w:i w:val="0"/>
          <w:iCs w:val="0"/>
          <w:caps w:val="0"/>
          <w:color w:val="000000"/>
          <w:spacing w:val="8"/>
          <w:sz w:val="32"/>
          <w:szCs w:val="32"/>
          <w:shd w:val="clear" w:fill="FFFFFF"/>
          <w:lang w:val="en-US" w:eastAsia="zh-CN"/>
        </w:rPr>
        <w:t>条 权利与义务</w:t>
      </w:r>
    </w:p>
    <w:p>
      <w:pPr>
        <w:numPr>
          <w:ilvl w:val="0"/>
          <w:numId w:val="0"/>
        </w:numPr>
        <w:ind w:firstLine="672" w:firstLineChars="200"/>
        <w:rPr>
          <w:rFonts w:hint="eastAsia"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cs="仿宋_GB2312"/>
          <w:i w:val="0"/>
          <w:iCs w:val="0"/>
          <w:caps w:val="0"/>
          <w:color w:val="000000"/>
          <w:spacing w:val="8"/>
          <w:sz w:val="32"/>
          <w:szCs w:val="32"/>
          <w:shd w:val="clear" w:fill="FFFFFF"/>
          <w:lang w:val="en-US" w:eastAsia="zh-CN"/>
        </w:rPr>
        <w:t>5</w:t>
      </w:r>
      <w:r>
        <w:rPr>
          <w:rFonts w:hint="eastAsia" w:ascii="仿宋_GB2312" w:hAnsi="仿宋_GB2312" w:eastAsia="仿宋_GB2312" w:cs="仿宋_GB2312"/>
          <w:i w:val="0"/>
          <w:iCs w:val="0"/>
          <w:caps w:val="0"/>
          <w:color w:val="000000"/>
          <w:spacing w:val="8"/>
          <w:sz w:val="32"/>
          <w:szCs w:val="32"/>
          <w:shd w:val="clear" w:fill="FFFFFF"/>
          <w:lang w:val="en-US" w:eastAsia="zh-CN"/>
        </w:rPr>
        <w:t>.1团队有权按照协议约定享受研究院提供的创新创业资助；</w:t>
      </w:r>
    </w:p>
    <w:p>
      <w:pPr>
        <w:numPr>
          <w:ilvl w:val="0"/>
          <w:numId w:val="0"/>
        </w:numPr>
        <w:ind w:firstLine="672" w:firstLineChars="200"/>
        <w:rPr>
          <w:rFonts w:hint="eastAsia" w:ascii="仿宋_GB2312" w:hAnsi="仿宋_GB2312" w:eastAsia="仿宋_GB2312" w:cs="仿宋_GB2312"/>
          <w:sz w:val="32"/>
          <w:szCs w:val="32"/>
          <w:lang w:val="en-US" w:eastAsia="zh-CN"/>
        </w:rPr>
      </w:pPr>
      <w:r>
        <w:rPr>
          <w:rFonts w:hint="eastAsia" w:ascii="仿宋_GB2312" w:hAnsi="仿宋_GB2312" w:cs="仿宋_GB2312"/>
          <w:i w:val="0"/>
          <w:iCs w:val="0"/>
          <w:caps w:val="0"/>
          <w:color w:val="000000"/>
          <w:spacing w:val="8"/>
          <w:sz w:val="32"/>
          <w:szCs w:val="32"/>
          <w:shd w:val="clear" w:fill="FFFFFF"/>
          <w:lang w:val="en-US" w:eastAsia="zh-CN"/>
        </w:rPr>
        <w:t>5</w:t>
      </w:r>
      <w:r>
        <w:rPr>
          <w:rFonts w:hint="eastAsia" w:ascii="仿宋_GB2312" w:hAnsi="仿宋_GB2312" w:eastAsia="仿宋_GB2312" w:cs="仿宋_GB2312"/>
          <w:i w:val="0"/>
          <w:iCs w:val="0"/>
          <w:caps w:val="0"/>
          <w:color w:val="000000"/>
          <w:spacing w:val="8"/>
          <w:sz w:val="32"/>
          <w:szCs w:val="32"/>
          <w:shd w:val="clear" w:fill="FFFFFF"/>
          <w:lang w:val="en-US" w:eastAsia="zh-CN"/>
        </w:rPr>
        <w:t>.2团队在研究院</w:t>
      </w:r>
      <w:r>
        <w:rPr>
          <w:rFonts w:hint="eastAsia" w:ascii="仿宋_GB2312" w:hAnsi="仿宋_GB2312" w:eastAsia="仿宋_GB2312" w:cs="仿宋_GB2312"/>
          <w:sz w:val="32"/>
          <w:szCs w:val="32"/>
          <w:lang w:val="en-US" w:eastAsia="zh-CN"/>
        </w:rPr>
        <w:t>制度框架下开展工作，对从事的项目有自主决定权。</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.3团队有义务按照协议约定完成各项考核指标，有义务遵守研究院各项管理制度；</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w:t>
      </w:r>
      <w:r>
        <w:rPr>
          <w:rFonts w:hint="eastAsia" w:ascii="仿宋_GB2312" w:hAnsi="仿宋_GB2312" w:cs="仿宋_GB2312"/>
          <w:b/>
          <w:bCs/>
          <w:sz w:val="32"/>
          <w:szCs w:val="32"/>
          <w:lang w:val="en-US" w:eastAsia="zh-CN"/>
        </w:rPr>
        <w:t>六</w:t>
      </w:r>
      <w:r>
        <w:rPr>
          <w:rFonts w:hint="eastAsia" w:ascii="仿宋_GB2312" w:hAnsi="仿宋_GB2312" w:eastAsia="仿宋_GB2312" w:cs="仿宋_GB2312"/>
          <w:b/>
          <w:bCs/>
          <w:sz w:val="32"/>
          <w:szCs w:val="32"/>
          <w:lang w:val="en-US" w:eastAsia="zh-CN"/>
        </w:rPr>
        <w:t>条 过程管理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.1资助经费必须“专款专用”，不得以任何名义截留、挪用，违规使用一经发现，研究院可以要求退回。</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.2 研究院每年组织两次项目进展汇报，对未按照规划取得进展的团队予以预警。</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w:t>
      </w:r>
      <w:r>
        <w:rPr>
          <w:rFonts w:hint="eastAsia" w:ascii="仿宋_GB2312" w:hAnsi="仿宋_GB2312" w:cs="仿宋_GB2312"/>
          <w:b/>
          <w:bCs/>
          <w:sz w:val="32"/>
          <w:szCs w:val="32"/>
          <w:lang w:val="en-US" w:eastAsia="zh-CN"/>
        </w:rPr>
        <w:t>七</w:t>
      </w:r>
      <w:r>
        <w:rPr>
          <w:rFonts w:hint="eastAsia" w:ascii="仿宋_GB2312" w:hAnsi="仿宋_GB2312" w:eastAsia="仿宋_GB2312" w:cs="仿宋_GB2312"/>
          <w:b/>
          <w:bCs/>
          <w:sz w:val="32"/>
          <w:szCs w:val="32"/>
          <w:lang w:val="en-US" w:eastAsia="zh-CN"/>
        </w:rPr>
        <w:t>条 考核管理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研究院每年年底组织一次集中考核，考核结果应用如下：</w:t>
      </w:r>
    </w:p>
    <w:tbl>
      <w:tblPr>
        <w:tblStyle w:val="3"/>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325"/>
        <w:gridCol w:w="3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304" w:type="dxa"/>
            <w:vAlign w:val="center"/>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级别</w:t>
            </w:r>
          </w:p>
        </w:tc>
        <w:tc>
          <w:tcPr>
            <w:tcW w:w="2325" w:type="dxa"/>
            <w:vAlign w:val="center"/>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得分</w:t>
            </w:r>
          </w:p>
        </w:tc>
        <w:tc>
          <w:tcPr>
            <w:tcW w:w="3830" w:type="dxa"/>
            <w:vAlign w:val="center"/>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年度考核应用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04" w:type="dxa"/>
            <w:vAlign w:val="center"/>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优秀</w:t>
            </w:r>
          </w:p>
        </w:tc>
        <w:tc>
          <w:tcPr>
            <w:tcW w:w="2325" w:type="dxa"/>
            <w:vAlign w:val="center"/>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≥90</w:t>
            </w:r>
          </w:p>
        </w:tc>
        <w:tc>
          <w:tcPr>
            <w:tcW w:w="3830" w:type="dxa"/>
            <w:vAlign w:val="center"/>
          </w:tcPr>
          <w:p>
            <w:pPr>
              <w:numPr>
                <w:ilvl w:val="0"/>
                <w:numId w:val="0"/>
              </w:numPr>
              <w:ind w:left="0" w:leftChars="0" w:firstLine="0" w:firstLine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继续资助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304" w:type="dxa"/>
            <w:vAlign w:val="center"/>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良好</w:t>
            </w:r>
          </w:p>
        </w:tc>
        <w:tc>
          <w:tcPr>
            <w:tcW w:w="2325" w:type="dxa"/>
            <w:vAlign w:val="center"/>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(80-90]</w:t>
            </w:r>
          </w:p>
        </w:tc>
        <w:tc>
          <w:tcPr>
            <w:tcW w:w="3830" w:type="dxa"/>
            <w:vAlign w:val="center"/>
          </w:tcPr>
          <w:p>
            <w:pPr>
              <w:numPr>
                <w:ilvl w:val="0"/>
                <w:numId w:val="0"/>
              </w:numPr>
              <w:ind w:left="0" w:leftChars="0" w:firstLine="0" w:firstLine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继续资助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4" w:type="dxa"/>
            <w:vAlign w:val="center"/>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一般</w:t>
            </w:r>
          </w:p>
        </w:tc>
        <w:tc>
          <w:tcPr>
            <w:tcW w:w="2325" w:type="dxa"/>
            <w:vAlign w:val="center"/>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(60-80]</w:t>
            </w:r>
          </w:p>
        </w:tc>
        <w:tc>
          <w:tcPr>
            <w:tcW w:w="3830" w:type="dxa"/>
            <w:vAlign w:val="center"/>
          </w:tcPr>
          <w:p>
            <w:pPr>
              <w:numPr>
                <w:ilvl w:val="0"/>
                <w:numId w:val="0"/>
              </w:numPr>
              <w:ind w:left="0" w:leftChars="0" w:firstLine="0" w:firstLine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列为重点关注对象，</w:t>
            </w:r>
          </w:p>
          <w:p>
            <w:pPr>
              <w:numPr>
                <w:ilvl w:val="0"/>
                <w:numId w:val="0"/>
              </w:numPr>
              <w:ind w:left="0" w:leftChars="0" w:firstLine="0" w:firstLine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每季度组织会议跟进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304" w:type="dxa"/>
            <w:vAlign w:val="center"/>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不合格</w:t>
            </w:r>
          </w:p>
        </w:tc>
        <w:tc>
          <w:tcPr>
            <w:tcW w:w="2325" w:type="dxa"/>
            <w:vAlign w:val="center"/>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＜60</w:t>
            </w:r>
          </w:p>
        </w:tc>
        <w:tc>
          <w:tcPr>
            <w:tcW w:w="3830" w:type="dxa"/>
            <w:vAlign w:val="center"/>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启动退出机制</w:t>
            </w:r>
          </w:p>
        </w:tc>
      </w:tr>
    </w:tbl>
    <w:p>
      <w:pPr>
        <w:numPr>
          <w:ilvl w:val="0"/>
          <w:numId w:val="0"/>
        </w:numPr>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w:t>
      </w:r>
      <w:r>
        <w:rPr>
          <w:rFonts w:hint="eastAsia" w:ascii="仿宋_GB2312" w:hAnsi="仿宋_GB2312" w:cs="仿宋_GB2312"/>
          <w:b/>
          <w:bCs/>
          <w:sz w:val="32"/>
          <w:szCs w:val="32"/>
          <w:lang w:val="en-US" w:eastAsia="zh-CN"/>
        </w:rPr>
        <w:t>八</w:t>
      </w:r>
      <w:r>
        <w:rPr>
          <w:rFonts w:hint="eastAsia" w:ascii="仿宋_GB2312" w:hAnsi="仿宋_GB2312" w:eastAsia="仿宋_GB2312" w:cs="仿宋_GB2312"/>
          <w:b/>
          <w:bCs/>
          <w:sz w:val="32"/>
          <w:szCs w:val="32"/>
          <w:lang w:val="en-US" w:eastAsia="zh-CN"/>
        </w:rPr>
        <w:t>条 附则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资助</w:t>
      </w:r>
      <w:r>
        <w:rPr>
          <w:rFonts w:hint="eastAsia" w:ascii="仿宋_GB2312" w:hAnsi="仿宋_GB2312" w:eastAsia="仿宋_GB2312" w:cs="仿宋_GB2312"/>
          <w:sz w:val="32"/>
          <w:szCs w:val="32"/>
          <w:lang w:val="en-US" w:eastAsia="zh-CN"/>
        </w:rPr>
        <w:t>资金</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使用接受财务审计，</w:t>
      </w:r>
      <w:r>
        <w:rPr>
          <w:rFonts w:hint="eastAsia" w:ascii="仿宋_GB2312" w:hAnsi="仿宋_GB2312" w:cs="仿宋_GB2312"/>
          <w:sz w:val="32"/>
          <w:szCs w:val="32"/>
          <w:lang w:val="en-US" w:eastAsia="zh-CN"/>
        </w:rPr>
        <w:t>如有</w:t>
      </w:r>
      <w:r>
        <w:rPr>
          <w:rFonts w:hint="eastAsia" w:ascii="仿宋_GB2312" w:hAnsi="仿宋_GB2312" w:eastAsia="仿宋_GB2312" w:cs="仿宋_GB2312"/>
          <w:sz w:val="32"/>
          <w:szCs w:val="32"/>
          <w:lang w:val="en-US" w:eastAsia="zh-CN"/>
        </w:rPr>
        <w:t>违规使用经费的</w:t>
      </w:r>
      <w:r>
        <w:rPr>
          <w:rFonts w:hint="eastAsia" w:ascii="仿宋_GB2312" w:hAnsi="仿宋_GB2312" w:cs="仿宋_GB2312"/>
          <w:sz w:val="32"/>
          <w:szCs w:val="32"/>
          <w:lang w:val="en-US" w:eastAsia="zh-CN"/>
        </w:rPr>
        <w:t>情况，研究院将</w:t>
      </w:r>
      <w:r>
        <w:rPr>
          <w:rFonts w:hint="eastAsia" w:ascii="仿宋_GB2312" w:hAnsi="仿宋_GB2312" w:eastAsia="仿宋_GB2312" w:cs="仿宋_GB2312"/>
          <w:sz w:val="32"/>
          <w:szCs w:val="32"/>
          <w:lang w:val="en-US" w:eastAsia="zh-CN"/>
        </w:rPr>
        <w:t>予以追缴，情节严重的，将</w:t>
      </w:r>
      <w:r>
        <w:rPr>
          <w:rFonts w:hint="eastAsia" w:ascii="仿宋_GB2312" w:hAnsi="仿宋_GB2312" w:cs="仿宋_GB2312"/>
          <w:sz w:val="32"/>
          <w:szCs w:val="32"/>
          <w:lang w:val="en-US" w:eastAsia="zh-CN"/>
        </w:rPr>
        <w:t>停止资助，</w:t>
      </w:r>
      <w:r>
        <w:rPr>
          <w:rFonts w:hint="eastAsia" w:ascii="仿宋_GB2312" w:hAnsi="仿宋_GB2312" w:eastAsia="仿宋_GB2312" w:cs="仿宋_GB2312"/>
          <w:sz w:val="32"/>
          <w:szCs w:val="32"/>
          <w:lang w:val="en-US" w:eastAsia="zh-CN"/>
        </w:rPr>
        <w:t>予以清退。</w:t>
      </w:r>
    </w:p>
    <w:p>
      <w:p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.2本办法</w:t>
      </w:r>
      <w:r>
        <w:rPr>
          <w:rFonts w:hint="eastAsia" w:ascii="仿宋_GB2312" w:hAnsi="仿宋_GB2312" w:eastAsia="仿宋_GB2312" w:cs="仿宋_GB2312"/>
          <w:i w:val="0"/>
          <w:iCs w:val="0"/>
          <w:caps w:val="0"/>
          <w:color w:val="000000"/>
          <w:spacing w:val="8"/>
          <w:sz w:val="32"/>
          <w:szCs w:val="32"/>
          <w:shd w:val="clear" w:fill="FFFFFF"/>
          <w:lang w:val="en-US" w:eastAsia="zh-CN"/>
        </w:rPr>
        <w:t>自</w:t>
      </w:r>
      <w:r>
        <w:rPr>
          <w:rFonts w:hint="eastAsia" w:ascii="仿宋_GB2312" w:hAnsi="仿宋_GB2312" w:cs="仿宋_GB2312"/>
          <w:i w:val="0"/>
          <w:iCs w:val="0"/>
          <w:caps w:val="0"/>
          <w:color w:val="000000"/>
          <w:spacing w:val="8"/>
          <w:sz w:val="32"/>
          <w:szCs w:val="32"/>
          <w:shd w:val="clear" w:fill="FFFFFF"/>
          <w:lang w:val="en-US" w:eastAsia="zh-CN"/>
        </w:rPr>
        <w:t>发布</w:t>
      </w:r>
      <w:r>
        <w:rPr>
          <w:rFonts w:hint="eastAsia" w:ascii="仿宋_GB2312" w:hAnsi="仿宋_GB2312" w:eastAsia="仿宋_GB2312" w:cs="仿宋_GB2312"/>
          <w:i w:val="0"/>
          <w:iCs w:val="0"/>
          <w:caps w:val="0"/>
          <w:color w:val="000000"/>
          <w:spacing w:val="8"/>
          <w:sz w:val="32"/>
          <w:szCs w:val="32"/>
          <w:shd w:val="clear" w:fill="FFFFFF"/>
          <w:lang w:val="en-US" w:eastAsia="zh-CN"/>
        </w:rPr>
        <w:t>之日起执行，最终解释权归研究院所有。</w:t>
      </w:r>
    </w:p>
    <w:p>
      <w:pPr>
        <w:spacing w:line="360" w:lineRule="auto"/>
        <w:ind w:left="0" w:leftChars="0" w:firstLine="640" w:firstLineChars="0"/>
        <w:jc w:val="both"/>
        <w:rPr>
          <w:rFonts w:hint="eastAsia" w:ascii="仿宋" w:hAnsi="仿宋" w:eastAsia="仿宋" w:cs="仿宋"/>
          <w:sz w:val="32"/>
          <w:szCs w:val="32"/>
          <w:lang w:val="en-US" w:eastAsia="zh-CN"/>
        </w:rPr>
      </w:pPr>
    </w:p>
    <w:p>
      <w:pPr>
        <w:spacing w:line="360" w:lineRule="auto"/>
        <w:ind w:left="0" w:leftChars="0" w:firstLine="640" w:firstLineChars="0"/>
        <w:jc w:val="both"/>
        <w:rPr>
          <w:rFonts w:hint="eastAsia"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D5AC9B"/>
    <w:multiLevelType w:val="singleLevel"/>
    <w:tmpl w:val="6FD5AC9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NzYyZDdhNjBlZmZlMjI3NjY4Mzk4MGNiY2JjNDUifQ=="/>
  </w:docVars>
  <w:rsids>
    <w:rsidRoot w:val="00000000"/>
    <w:rsid w:val="04893C18"/>
    <w:rsid w:val="04C16F84"/>
    <w:rsid w:val="0BC65752"/>
    <w:rsid w:val="13D36B88"/>
    <w:rsid w:val="147F1DA3"/>
    <w:rsid w:val="17D47866"/>
    <w:rsid w:val="19C808E7"/>
    <w:rsid w:val="1B3D215E"/>
    <w:rsid w:val="1BFD3B39"/>
    <w:rsid w:val="1F78425D"/>
    <w:rsid w:val="1FF22625"/>
    <w:rsid w:val="20F76CF2"/>
    <w:rsid w:val="223B07F0"/>
    <w:rsid w:val="2944442E"/>
    <w:rsid w:val="2AE436D0"/>
    <w:rsid w:val="2CA60F5C"/>
    <w:rsid w:val="33271EFE"/>
    <w:rsid w:val="33386B85"/>
    <w:rsid w:val="35154772"/>
    <w:rsid w:val="3B257AD3"/>
    <w:rsid w:val="3E3C3672"/>
    <w:rsid w:val="40AD0BDD"/>
    <w:rsid w:val="43B67E41"/>
    <w:rsid w:val="51543217"/>
    <w:rsid w:val="528F1C9C"/>
    <w:rsid w:val="53AA1736"/>
    <w:rsid w:val="55B94042"/>
    <w:rsid w:val="5F440FE2"/>
    <w:rsid w:val="60577BD3"/>
    <w:rsid w:val="60BF3DBF"/>
    <w:rsid w:val="638C120E"/>
    <w:rsid w:val="6791267E"/>
    <w:rsid w:val="6A995680"/>
    <w:rsid w:val="6D761CA9"/>
    <w:rsid w:val="71DC6CE8"/>
    <w:rsid w:val="752B56FD"/>
    <w:rsid w:val="7B0C1557"/>
    <w:rsid w:val="7ED2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标题1"/>
    <w:basedOn w:val="1"/>
    <w:qFormat/>
    <w:uiPriority w:val="0"/>
    <w:pPr>
      <w:adjustRightInd w:val="0"/>
      <w:snapToGrid w:val="0"/>
      <w:spacing w:before="50" w:beforeLines="50" w:line="560" w:lineRule="exact"/>
      <w:ind w:firstLine="0" w:firstLineChars="0"/>
      <w:jc w:val="center"/>
      <w:outlineLvl w:val="0"/>
    </w:pPr>
    <w:rPr>
      <w:rFonts w:ascii="等线" w:hAnsi="等线" w:eastAsia="方正小标宋简体" w:cs="Arial"/>
      <w:bCs/>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2023-09-15T05:46:00Z</dcterms:created>
  <dc:creator>han</dc:creator>
  <cp:lastModifiedBy>华丽转身</cp:lastModifiedBy>
  <dcterms:modified xsi:type="dcterms:W3CDTF">2023-09-18T08:24:56Z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411B63D678584E10A7FBD18AB1F7BAF2_12</vt:lpwstr>
  </property>
</Properties>
</file>