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届浙江工业大学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“互联网+”</w:t>
      </w:r>
      <w:r>
        <w:rPr>
          <w:rFonts w:hint="eastAsia" w:ascii="方正小标宋简体" w:eastAsia="方正小标宋简体"/>
          <w:sz w:val="44"/>
          <w:szCs w:val="44"/>
        </w:rPr>
        <w:t>大学生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创新创业</w:t>
      </w:r>
      <w:r>
        <w:rPr>
          <w:rFonts w:hint="eastAsia" w:ascii="方正小标宋简体" w:eastAsia="方正小标宋简体"/>
          <w:sz w:val="44"/>
          <w:szCs w:val="44"/>
        </w:rPr>
        <w:t>大赛</w:t>
      </w:r>
      <w:r>
        <w:rPr>
          <w:rFonts w:hint="eastAsia" w:ascii="方正小标宋简体" w:hAnsi="Calibri" w:eastAsia="方正小标宋简体"/>
          <w:sz w:val="44"/>
          <w:szCs w:val="44"/>
        </w:rPr>
        <w:t>国际赛道方案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本次大赛</w:t>
      </w:r>
      <w:r>
        <w:rPr>
          <w:rFonts w:hint="eastAsia" w:ascii="仿宋" w:hAnsi="仿宋" w:eastAsia="仿宋" w:cs="仿宋"/>
          <w:sz w:val="32"/>
          <w:szCs w:val="36"/>
        </w:rPr>
        <w:t>设国际参赛赛道。具体实施方案如下。</w:t>
      </w:r>
    </w:p>
    <w:p>
      <w:pPr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一、参赛项目类型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（一）新工科类项目：大数据、云计算、人工智能、区块链、虚拟现实、智能制造、网络空间安全、机器人工程、工业自动化、新材料等领域，符合新工科建设理念和要求的项目；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（二）新医科类项目：现代医疗技术、智能医疗设备、新药研发、健康康养、食药保健、智能医学、生物技术、生物材料等领域，符合新医科建设理念和要求的项目；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（三）新农科类项目：现代种业、智慧农业、智能农机装备、农业大数据、食品营养、休闲农业、森林康养、生态修复、农业碳汇等领域，符合新农科建设理念和要求的项目；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新文科类项目：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。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hAnsi="Calibri" w:eastAsia="仿宋_GB2312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>参赛项目团队应认真了解和把握“四新”发展要求，结合以上分类及项目实际，合理选择参赛项目类别。参赛项目不只限于“互联网+”项目，鼓励各类创新创业项目参赛，根据“四新”建设内涵和产业发展方向选择相应类型。</w:t>
      </w:r>
    </w:p>
    <w:p>
      <w:pPr>
        <w:numPr>
          <w:ilvl w:val="0"/>
          <w:numId w:val="1"/>
        </w:numPr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参赛方式和要求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1.本赛道以团队为单位报名参赛。允许跨校组建参赛团队，每个团队的成员不少于 3 人，原则上不多于 15 人（含团队负责人），须为项目实际核心成员。参赛团队所报参赛创业项目，须为本团队策划或经营的项目，不得借用他人项目参赛。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2.根据参赛团队负责人的学籍或学历确定参赛团队所代表的参赛学校，且代表的参赛学校具有唯一性。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hAnsi="Calibri" w:eastAsia="仿宋_GB2312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3.所有参赛材料和现场答辩原则上使用中文或英文，如有其他语言需求，请联系大赛组委会。</w:t>
      </w:r>
    </w:p>
    <w:p>
      <w:pPr>
        <w:numPr>
          <w:ilvl w:val="0"/>
          <w:numId w:val="0"/>
        </w:numPr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三、项目类别和参赛对象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国际赛道项目负责人和成员应为我校在校留学生、我校在海外就读的学生或海外高校学生，或毕业五年以内的相关毕业生（可为本专科生、研究生，不含在职生）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、其他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6"/>
          <w:lang w:val="en-US" w:eastAsia="zh-CN"/>
        </w:rPr>
        <w:t>本附件所涉及条款的最终解释权，归第十四届浙江工业大学大学生创业大赛暨第八届浙江省“互联网+”大学生创新创业大赛选拔赛组委会所有。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hAnsi="Calibri" w:eastAsia="仿宋_GB2312"/>
          <w:sz w:val="32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6442F0"/>
    <w:multiLevelType w:val="singleLevel"/>
    <w:tmpl w:val="946442F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F3BD7"/>
    <w:rsid w:val="03E15115"/>
    <w:rsid w:val="0E6E1E17"/>
    <w:rsid w:val="0F046CFF"/>
    <w:rsid w:val="304F70FB"/>
    <w:rsid w:val="4A3B0133"/>
    <w:rsid w:val="56062F08"/>
    <w:rsid w:val="7735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894</Words>
  <Characters>905</Characters>
  <Lines>0</Lines>
  <Paragraphs>0</Paragraphs>
  <TotalTime>3</TotalTime>
  <ScaleCrop>false</ScaleCrop>
  <LinksUpToDate>false</LinksUpToDate>
  <CharactersWithSpaces>913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lzx</dc:creator>
  <cp:lastModifiedBy>祺祺</cp:lastModifiedBy>
  <dcterms:modified xsi:type="dcterms:W3CDTF">2022-04-21T02:42:37Z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AF3CDA9CB2C3405C915BD8A2C68B189D</vt:lpwstr>
  </property>
  <property fmtid="{D5CDD505-2E9C-101B-9397-08002B2CF9AE}" pid="4" name="commondata">
    <vt:lpwstr>eyJoZGlkIjoiNGY5NTk2MDkwODk4YmExNGYzYmUyNGU3Njg4ZGVlZGEifQ==</vt:lpwstr>
  </property>
</Properties>
</file>