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72" w:rsidRDefault="002C1FE2">
      <w:pPr>
        <w:spacing w:line="520" w:lineRule="exact"/>
        <w:ind w:right="641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附件</w:t>
      </w:r>
      <w:r w:rsidR="00C536A8">
        <w:rPr>
          <w:rFonts w:ascii="Times New Roman" w:eastAsia="仿宋_GB2312" w:hAnsi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sz w:val="32"/>
          <w:szCs w:val="32"/>
        </w:rPr>
        <w:t>：</w:t>
      </w:r>
    </w:p>
    <w:p w:rsidR="005B5E72" w:rsidRDefault="002C1FE2" w:rsidP="00776726">
      <w:pPr>
        <w:spacing w:beforeLines="50" w:afterLines="50" w:line="520" w:lineRule="exact"/>
        <w:ind w:right="641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浙江省“四大建设”建设目标、主要任务、主要举措概览</w:t>
      </w:r>
    </w:p>
    <w:tbl>
      <w:tblPr>
        <w:tblStyle w:val="a9"/>
        <w:tblW w:w="14850" w:type="dxa"/>
        <w:tblLayout w:type="fixed"/>
        <w:tblLook w:val="04A0"/>
      </w:tblPr>
      <w:tblGrid>
        <w:gridCol w:w="959"/>
        <w:gridCol w:w="2268"/>
        <w:gridCol w:w="2835"/>
        <w:gridCol w:w="2126"/>
        <w:gridCol w:w="6662"/>
      </w:tblGrid>
      <w:tr w:rsidR="005B5E72">
        <w:trPr>
          <w:trHeight w:val="368"/>
        </w:trPr>
        <w:tc>
          <w:tcPr>
            <w:tcW w:w="959" w:type="dxa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kern w:val="0"/>
                <w:sz w:val="30"/>
                <w:szCs w:val="30"/>
              </w:rPr>
              <w:t>行动计划名称</w:t>
            </w:r>
          </w:p>
        </w:tc>
        <w:tc>
          <w:tcPr>
            <w:tcW w:w="2268" w:type="dxa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kern w:val="0"/>
                <w:sz w:val="30"/>
                <w:szCs w:val="30"/>
              </w:rPr>
              <w:t>建设目标</w:t>
            </w:r>
          </w:p>
        </w:tc>
        <w:tc>
          <w:tcPr>
            <w:tcW w:w="2835" w:type="dxa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kern w:val="0"/>
                <w:sz w:val="30"/>
                <w:szCs w:val="30"/>
              </w:rPr>
              <w:t>建设原则</w:t>
            </w:r>
          </w:p>
        </w:tc>
        <w:tc>
          <w:tcPr>
            <w:tcW w:w="2126" w:type="dxa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kern w:val="0"/>
                <w:sz w:val="30"/>
                <w:szCs w:val="30"/>
              </w:rPr>
              <w:t>主要任务</w:t>
            </w:r>
          </w:p>
        </w:tc>
        <w:tc>
          <w:tcPr>
            <w:tcW w:w="6662" w:type="dxa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kern w:val="0"/>
                <w:sz w:val="30"/>
                <w:szCs w:val="30"/>
              </w:rPr>
              <w:t>主要举措</w:t>
            </w:r>
          </w:p>
        </w:tc>
      </w:tr>
      <w:tr w:rsidR="005B5E72">
        <w:trPr>
          <w:trHeight w:val="393"/>
        </w:trPr>
        <w:tc>
          <w:tcPr>
            <w:tcW w:w="959" w:type="dxa"/>
            <w:vMerge w:val="restart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t>大湾区建设（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六大建设行动</w:t>
            </w: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t>）</w:t>
            </w:r>
          </w:p>
        </w:tc>
        <w:tc>
          <w:tcPr>
            <w:tcW w:w="2268" w:type="dxa"/>
            <w:vMerge w:val="restart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以“绿色智慧和谐美丽的世界级现代化大湾区”为总目标。具体建设“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全国现代化建设先行区、全球数字经济创新高地、区域高质量发展新引擎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”。到2022年湾区经济总量达到6万亿元以上，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数字经济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对经济增长的贡献率达到50%以上，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高新技术产业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增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加值占工业增加值47%以上；到2035年，高水平完成基本实现社会主义现代化的目标。</w:t>
            </w:r>
          </w:p>
        </w:tc>
        <w:tc>
          <w:tcPr>
            <w:tcW w:w="2835" w:type="dxa"/>
            <w:vMerge w:val="restart"/>
          </w:tcPr>
          <w:p w:rsidR="005B5E72" w:rsidRDefault="002C1FE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1.坚持突出重点，有序推进，把环杭州湾经济区作为大湾区建设的重点。</w:t>
            </w:r>
          </w:p>
          <w:p w:rsidR="005B5E72" w:rsidRDefault="002C1FE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2.坚持交通先行，协同发展，特别是轨道交通和综合枢纽，以交通一体化支撑区域发展一体化。</w:t>
            </w:r>
          </w:p>
          <w:p w:rsidR="005B5E72" w:rsidRDefault="002C1FE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3.坚持优化环境，创新引领，从制度、科技、生态、人文等方面营造国际一流的营商环境，集聚国际高端要素。</w:t>
            </w:r>
          </w:p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4.坚持平台支撑，项目带动，将打造科创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大走廊和产城融合的现代化新区作为启动大湾区建设的重要抓手。</w:t>
            </w: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jc w:val="left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1.现代产业高地建设行动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1.建设世界级先进制造业集群；2.加快传统产业优化升级；3.大力发展高新技术服务业；4.建设新兴金融中心；5.建设全球新兴的文化与旅游产业基地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2.“互联网+”科创高地建设行动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1.高水平建设国家自主创新示范区；2.实施人才强省战略；3.建设一批创新应用示范基地；4.前瞻布局一批国际水准的创新载体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3.现代化国际化城市建设行动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1.实施一批现代化城市示范工程；2.提升国家化服务功能；3.加快完善城市基础设施；4.完善一体化公共服务体系；5.加快推进城市治理数字化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4.湾区现代交通建设行动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1.打造高水平互联互通的交通设施网络；2.打造世界级港口集群；3.打造通达全球的世界级机场群；4.推进湾区智慧化交通建设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5.开放高地建设行动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1.高水平建设中国(浙江)自由贸易试验区；2.建设电子世界贸易平台(eWTP)试验区；3.培育建设一批国际货物和服务贸易基地；4.构筑双向开放、内外联动的园区体系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6.美丽大湾区建设行动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1.严格管控各类生态功能区；2.推进污染治理与生态修复；3.制定实施产业准入负面清单；4.建设资源节约和环境友好型社会</w:t>
            </w:r>
          </w:p>
        </w:tc>
      </w:tr>
      <w:tr w:rsidR="005B5E72">
        <w:trPr>
          <w:trHeight w:val="389"/>
        </w:trPr>
        <w:tc>
          <w:tcPr>
            <w:tcW w:w="959" w:type="dxa"/>
            <w:vMerge w:val="restart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lastRenderedPageBreak/>
              <w:t>大花园建设（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五大工程</w:t>
            </w: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t>）</w:t>
            </w:r>
          </w:p>
        </w:tc>
        <w:tc>
          <w:tcPr>
            <w:tcW w:w="2268" w:type="dxa"/>
            <w:vMerge w:val="restart"/>
          </w:tcPr>
          <w:p w:rsidR="005B5E72" w:rsidRDefault="002C1FE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努力形成全域大美格局，到2022年，把全省打造成为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全国领先的绿色发展高地、全球知名的健康养生福地、国际影响力的旅游目的地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。到2035年建成绿色美丽和谐幸福的现代化大花园。</w:t>
            </w:r>
          </w:p>
        </w:tc>
        <w:tc>
          <w:tcPr>
            <w:tcW w:w="2835" w:type="dxa"/>
            <w:vMerge w:val="restart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1.以绿色产业为基础；2.以美丽建设为载体；3.以交通建设为先导；4.以平台项目为支撑；5.以改革创新为驱动</w:t>
            </w: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1.生态环境质量提升工程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1.严守生态安全；2.严格产业准入；3.打好污染防治攻坚战；4.统筹推进山水林田湖草生态保护与修复</w:t>
            </w:r>
          </w:p>
        </w:tc>
      </w:tr>
      <w:tr w:rsidR="005B5E72">
        <w:trPr>
          <w:trHeight w:val="847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2.全域旅游推进工程</w:t>
            </w:r>
          </w:p>
        </w:tc>
        <w:tc>
          <w:tcPr>
            <w:tcW w:w="6662" w:type="dxa"/>
          </w:tcPr>
          <w:p w:rsidR="005B5E72" w:rsidRDefault="002C1FE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打造国际知名旅游品牌；2.提升重点旅游区能级；3.浙闽皖赣国家生态旅游协作区；4.唐诗之路黄金旅游带；5.浙西南生态旅游带；6.大运河（浙江）文化带；7.佛道名山旅游带；8.浙中影视文化旅游带；9.浙北精品旅游带；10.海湾海岛旅游带</w:t>
            </w:r>
          </w:p>
        </w:tc>
      </w:tr>
      <w:tr w:rsidR="005B5E72">
        <w:trPr>
          <w:trHeight w:val="488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3.绿色产业发展工程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1.增强绿色安全农产品供给能力；2.推动制造业绿色化发展；3.培育发展幸福产业；4.打造山海协作工程升级版</w:t>
            </w:r>
          </w:p>
        </w:tc>
      </w:tr>
      <w:tr w:rsidR="005B5E72">
        <w:trPr>
          <w:trHeight w:val="487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4.基础设施提升工程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1.建设大型国际综合客运枢纽；2.完善山区快捷通道网络；3.推进美丽交通网络建设；4.推进骑行绿道网；5.完善水利、信息、能源设施网络</w:t>
            </w:r>
          </w:p>
        </w:tc>
      </w:tr>
      <w:tr w:rsidR="005B5E72">
        <w:trPr>
          <w:trHeight w:val="655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5.绿色发展机制创新工程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1.构建“多规合一”空间规划体系；2.改革生态环境监管体制；3.探索生态产品价值实现机制；4.健全绿色金融体系；5.完善城乡融合机制；6.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完善绿色政绩考核和问责制度</w:t>
            </w:r>
          </w:p>
        </w:tc>
      </w:tr>
      <w:tr w:rsidR="005B5E72">
        <w:trPr>
          <w:trHeight w:val="681"/>
        </w:trPr>
        <w:tc>
          <w:tcPr>
            <w:tcW w:w="959" w:type="dxa"/>
            <w:vMerge w:val="restart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lastRenderedPageBreak/>
              <w:t>大通道建设（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五大建设工程</w:t>
            </w: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t>）</w:t>
            </w:r>
          </w:p>
        </w:tc>
        <w:tc>
          <w:tcPr>
            <w:tcW w:w="2268" w:type="dxa"/>
            <w:vMerge w:val="restart"/>
          </w:tcPr>
          <w:p w:rsidR="005B5E72" w:rsidRDefault="002C1FE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聚力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构建“三个1小时”交通圈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。　　到2022年，基本建成省域1小时交通圈、市域1小时交通圈和城区1小时交通圈。到2035年，90%以上县（市）通高铁、有机场，在全国率先建成现代化的交通强省。</w:t>
            </w:r>
          </w:p>
        </w:tc>
        <w:tc>
          <w:tcPr>
            <w:tcW w:w="2835" w:type="dxa"/>
            <w:vMerge w:val="restart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1.统筹协调、高效便捷；2.互通互联、开放融合；3.低碳环保、绿色发展；4.创新驱动、智慧安全</w:t>
            </w:r>
          </w:p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1.开放通道建设工程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构建以义甬舟为主轴，向东连通海上丝绸之路，向西连接丝绸之路经济带和长江经济带，以货运为主“一轴两辐射”的开放通道，促进我省东西陆海双向大开放。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2.湾区通道建设工程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构建北向引领环杭州湾经济区创新发展，南向服务甬台温临港产业带建设，形成“一环一带”客货并重的综合交通运输网络。</w:t>
            </w:r>
          </w:p>
        </w:tc>
      </w:tr>
      <w:tr w:rsidR="005B5E72">
        <w:trPr>
          <w:trHeight w:val="855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3.美丽通道建设工程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构建以客运为主的“A”字型美丽通道。推动实现4A级以上景区、省级以上旅游度假区、省级特色小镇等区域基本通达二级以上公路，建成2万公里的“畅、安、舒、美、绿”美丽经济交通走廊带。</w:t>
            </w:r>
          </w:p>
        </w:tc>
      </w:tr>
      <w:tr w:rsidR="005B5E72">
        <w:trPr>
          <w:trHeight w:val="447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4.四大枢纽建设工程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加快建设杭州、宁波、温州和金义四大都市区国际性、全国性综合交通枢纽，促进多种交通方式综合集成发展，优化枢纽站场布局，提升综合交通枢纽换乘换装和信息共享水平。</w:t>
            </w:r>
          </w:p>
        </w:tc>
      </w:tr>
      <w:tr w:rsidR="005B5E72">
        <w:trPr>
          <w:trHeight w:val="1275"/>
        </w:trPr>
        <w:tc>
          <w:tcPr>
            <w:tcW w:w="959" w:type="dxa"/>
            <w:vMerge/>
            <w:vAlign w:val="center"/>
          </w:tcPr>
          <w:p w:rsidR="005B5E72" w:rsidRDefault="005B5E7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5.四港融合建设工程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推动海港、陆港、空港和信息港“四港”融合发展，提升客运和货运两大系统的服务效率和水平，推动物流数字化转型，加快完善高效便捷、多式联运的运输服务体系。</w:t>
            </w:r>
          </w:p>
        </w:tc>
      </w:tr>
      <w:tr w:rsidR="005B5E72">
        <w:trPr>
          <w:trHeight w:val="389"/>
        </w:trPr>
        <w:tc>
          <w:tcPr>
            <w:tcW w:w="959" w:type="dxa"/>
            <w:vMerge w:val="restart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t>大都市区</w:t>
            </w:r>
            <w:r>
              <w:rPr>
                <w:rFonts w:ascii="仿宋_GB2312" w:eastAsia="仿宋_GB2312" w:hAnsiTheme="minorEastAsia" w:hint="eastAsia"/>
                <w:b/>
                <w:spacing w:val="-10"/>
                <w:kern w:val="0"/>
                <w:sz w:val="30"/>
                <w:szCs w:val="30"/>
              </w:rPr>
              <w:lastRenderedPageBreak/>
              <w:t>建设</w:t>
            </w:r>
          </w:p>
        </w:tc>
        <w:tc>
          <w:tcPr>
            <w:tcW w:w="2268" w:type="dxa"/>
            <w:vMerge w:val="restart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以推动共建长三角世界级城</w:t>
            </w: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市群为龙头、以推进杭州宁波一体化发展为主轴、以全面提升四大都市区综合能级为核心，充分发挥都市区对区域城乡辐射带动作用，</w:t>
            </w:r>
            <w:r>
              <w:rPr>
                <w:rFonts w:ascii="仿宋_GB2312" w:eastAsia="仿宋_GB2312" w:hAnsiTheme="minorEastAsia" w:cs="宋体" w:hint="eastAsia"/>
                <w:b/>
                <w:kern w:val="0"/>
                <w:sz w:val="30"/>
                <w:szCs w:val="30"/>
              </w:rPr>
              <w:t>形成由核心城市引领、中心城市和特色小城镇节点支撑、全省大通道联动贯穿的网络型城市连绵带。</w:t>
            </w:r>
          </w:p>
        </w:tc>
        <w:tc>
          <w:tcPr>
            <w:tcW w:w="2835" w:type="dxa"/>
            <w:vMerge w:val="restart"/>
          </w:tcPr>
          <w:p w:rsidR="005B5E72" w:rsidRDefault="005B5E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1.提升都市区创新驱动力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1.打造重大创新平台载体；2.加强高端创新要素集聚；3.完善创新创业体系</w:t>
            </w:r>
          </w:p>
        </w:tc>
      </w:tr>
      <w:tr w:rsidR="005B5E72">
        <w:trPr>
          <w:trHeight w:val="627"/>
        </w:trPr>
        <w:tc>
          <w:tcPr>
            <w:tcW w:w="959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2.提升都市区产业竞争力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1.加快发展以新经济为引领的现代服务业；2.大力发展高新技术和战略性新兴产业；3.加快平台整合提升和功能融入</w:t>
            </w:r>
          </w:p>
        </w:tc>
      </w:tr>
      <w:tr w:rsidR="005B5E72">
        <w:trPr>
          <w:trHeight w:val="1116"/>
        </w:trPr>
        <w:tc>
          <w:tcPr>
            <w:tcW w:w="959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3.提升都市区国际影响力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1.强化大都市区国际化功能；2.构建一流国际化营商环境；3.打造国际人文合作交流中心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4.提升都市区交通通达力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1.构筑都市区大通道主枢纽；2.完善都市区公共交通系统；3.建设枢纽型经济功能区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5.提升都市区生态承载力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1.强化生态底线管控；2.提升都市区生态品质；3.加强都市区环境协同治理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6.提升都市区公共服务保障力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1.加快基本公共服务均等共享；2.提升都市区公共服务水平；3.建立多元化住房保障体系</w:t>
            </w:r>
          </w:p>
        </w:tc>
      </w:tr>
      <w:tr w:rsidR="005B5E72">
        <w:trPr>
          <w:trHeight w:val="389"/>
        </w:trPr>
        <w:tc>
          <w:tcPr>
            <w:tcW w:w="959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7.提升都市区文化软实力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1.彰显浙派江南特色文化风貌；2.提高都市区文化生活水平；3.激发都市区文化产业活力</w:t>
            </w:r>
          </w:p>
        </w:tc>
      </w:tr>
      <w:tr w:rsidR="005B5E72">
        <w:trPr>
          <w:trHeight w:val="394"/>
        </w:trPr>
        <w:tc>
          <w:tcPr>
            <w:tcW w:w="959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5B5E72" w:rsidRDefault="005B5E7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8.提升都市区综合治理力</w:t>
            </w:r>
          </w:p>
        </w:tc>
        <w:tc>
          <w:tcPr>
            <w:tcW w:w="6662" w:type="dxa"/>
          </w:tcPr>
          <w:p w:rsidR="005B5E72" w:rsidRDefault="002C1FE2">
            <w:pPr>
              <w:adjustRightInd w:val="0"/>
              <w:snapToGrid w:val="0"/>
              <w:rPr>
                <w:rFonts w:ascii="仿宋_GB2312" w:eastAsia="仿宋_GB2312" w:hAnsiTheme="minor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1.创新大都市区治理模式；2.加强大都市区安全体系；3.强化大都市区精细化管理</w:t>
            </w:r>
          </w:p>
        </w:tc>
      </w:tr>
    </w:tbl>
    <w:p w:rsidR="005B5E72" w:rsidRPr="007E0A2E" w:rsidRDefault="007E0A2E" w:rsidP="007E0A2E">
      <w:pPr>
        <w:widowControl/>
        <w:adjustRightInd w:val="0"/>
        <w:snapToGrid w:val="0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7E0A2E">
        <w:rPr>
          <w:rFonts w:ascii="仿宋_GB2312" w:eastAsia="仿宋_GB2312" w:hint="eastAsia"/>
          <w:b/>
          <w:sz w:val="28"/>
          <w:szCs w:val="28"/>
        </w:rPr>
        <w:t>备注：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大湾区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建设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、大花园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建设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、大通道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建设相关内容摘自省委文件（附件1），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大都市区</w:t>
      </w:r>
      <w:r w:rsidRPr="007E0A2E">
        <w:rPr>
          <w:rFonts w:ascii="仿宋_GB2312" w:eastAsia="仿宋_GB2312" w:hAnsi="Helvetica" w:cs="Helvetica" w:hint="eastAsia"/>
          <w:b/>
          <w:sz w:val="28"/>
          <w:szCs w:val="28"/>
        </w:rPr>
        <w:t>建设由于文件尚未出台，根据省发改委网站公布的主要思路与举措整理而来。</w:t>
      </w:r>
    </w:p>
    <w:sectPr w:rsidR="005B5E72" w:rsidRPr="007E0A2E" w:rsidSect="005B5E72">
      <w:footerReference w:type="default" r:id="rId8"/>
      <w:pgSz w:w="16838" w:h="11906" w:orient="landscape"/>
      <w:pgMar w:top="1021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A1" w:rsidRDefault="005D5DA1" w:rsidP="005B5E72">
      <w:r>
        <w:separator/>
      </w:r>
    </w:p>
  </w:endnote>
  <w:endnote w:type="continuationSeparator" w:id="0">
    <w:p w:rsidR="005D5DA1" w:rsidRDefault="005D5DA1" w:rsidP="005B5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72" w:rsidRDefault="00E13326">
    <w:pPr>
      <w:pStyle w:val="a6"/>
      <w:jc w:val="center"/>
    </w:pPr>
    <w:r w:rsidRPr="00E13326">
      <w:fldChar w:fldCharType="begin"/>
    </w:r>
    <w:r w:rsidR="002C1FE2">
      <w:instrText>PAGE   \* MERGEFORMAT</w:instrText>
    </w:r>
    <w:r w:rsidRPr="00E13326">
      <w:fldChar w:fldCharType="separate"/>
    </w:r>
    <w:r w:rsidR="00703EE0" w:rsidRPr="00703EE0">
      <w:rPr>
        <w:noProof/>
        <w:lang w:val="zh-CN"/>
      </w:rPr>
      <w:t>1</w:t>
    </w:r>
    <w:r>
      <w:rPr>
        <w:lang w:val="zh-CN"/>
      </w:rPr>
      <w:fldChar w:fldCharType="end"/>
    </w:r>
  </w:p>
  <w:p w:rsidR="005B5E72" w:rsidRDefault="005B5E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A1" w:rsidRDefault="005D5DA1" w:rsidP="005B5E72">
      <w:r>
        <w:separator/>
      </w:r>
    </w:p>
  </w:footnote>
  <w:footnote w:type="continuationSeparator" w:id="0">
    <w:p w:rsidR="005D5DA1" w:rsidRDefault="005D5DA1" w:rsidP="005B5E7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305"/>
    <w:rsid w:val="000038D1"/>
    <w:rsid w:val="0002301B"/>
    <w:rsid w:val="00031BCC"/>
    <w:rsid w:val="00031E71"/>
    <w:rsid w:val="00037EB2"/>
    <w:rsid w:val="000457F9"/>
    <w:rsid w:val="00052F05"/>
    <w:rsid w:val="00062713"/>
    <w:rsid w:val="0006500E"/>
    <w:rsid w:val="000A2CD0"/>
    <w:rsid w:val="000A3907"/>
    <w:rsid w:val="000F6DFB"/>
    <w:rsid w:val="00102A9B"/>
    <w:rsid w:val="00115673"/>
    <w:rsid w:val="001254DE"/>
    <w:rsid w:val="001356A1"/>
    <w:rsid w:val="00140AC3"/>
    <w:rsid w:val="0014375D"/>
    <w:rsid w:val="00160062"/>
    <w:rsid w:val="00175948"/>
    <w:rsid w:val="00176821"/>
    <w:rsid w:val="00176D4A"/>
    <w:rsid w:val="00180CD2"/>
    <w:rsid w:val="00185595"/>
    <w:rsid w:val="001970A7"/>
    <w:rsid w:val="001C62E1"/>
    <w:rsid w:val="001E0EF3"/>
    <w:rsid w:val="001E28F8"/>
    <w:rsid w:val="001E6558"/>
    <w:rsid w:val="001E7236"/>
    <w:rsid w:val="0021149F"/>
    <w:rsid w:val="002256DD"/>
    <w:rsid w:val="00235295"/>
    <w:rsid w:val="00235EB1"/>
    <w:rsid w:val="002465F2"/>
    <w:rsid w:val="002531EE"/>
    <w:rsid w:val="00254A55"/>
    <w:rsid w:val="00282051"/>
    <w:rsid w:val="002B4016"/>
    <w:rsid w:val="002C1FE2"/>
    <w:rsid w:val="002C501A"/>
    <w:rsid w:val="002E2384"/>
    <w:rsid w:val="002E2717"/>
    <w:rsid w:val="002F27BE"/>
    <w:rsid w:val="002F59CA"/>
    <w:rsid w:val="0031763F"/>
    <w:rsid w:val="00345903"/>
    <w:rsid w:val="00370F18"/>
    <w:rsid w:val="00387F92"/>
    <w:rsid w:val="003F22A8"/>
    <w:rsid w:val="0042485F"/>
    <w:rsid w:val="00433985"/>
    <w:rsid w:val="00444A40"/>
    <w:rsid w:val="004638FC"/>
    <w:rsid w:val="00483C8B"/>
    <w:rsid w:val="004C1701"/>
    <w:rsid w:val="004C1D4E"/>
    <w:rsid w:val="004C6004"/>
    <w:rsid w:val="004D52A5"/>
    <w:rsid w:val="004E1305"/>
    <w:rsid w:val="00514939"/>
    <w:rsid w:val="00531BAE"/>
    <w:rsid w:val="0055396B"/>
    <w:rsid w:val="005566E6"/>
    <w:rsid w:val="00571531"/>
    <w:rsid w:val="005751FF"/>
    <w:rsid w:val="005A2575"/>
    <w:rsid w:val="005A658E"/>
    <w:rsid w:val="005B5E72"/>
    <w:rsid w:val="005C35AC"/>
    <w:rsid w:val="005D5DA1"/>
    <w:rsid w:val="00606C39"/>
    <w:rsid w:val="00617247"/>
    <w:rsid w:val="00637C0B"/>
    <w:rsid w:val="006616EA"/>
    <w:rsid w:val="00671D82"/>
    <w:rsid w:val="00680AB6"/>
    <w:rsid w:val="0068743A"/>
    <w:rsid w:val="006A5349"/>
    <w:rsid w:val="006B2594"/>
    <w:rsid w:val="006D7DB8"/>
    <w:rsid w:val="006E76B9"/>
    <w:rsid w:val="006F59AC"/>
    <w:rsid w:val="006F6596"/>
    <w:rsid w:val="00703EE0"/>
    <w:rsid w:val="007056C1"/>
    <w:rsid w:val="007056F0"/>
    <w:rsid w:val="0073543F"/>
    <w:rsid w:val="00773456"/>
    <w:rsid w:val="00776726"/>
    <w:rsid w:val="00785DE3"/>
    <w:rsid w:val="00791802"/>
    <w:rsid w:val="00795D2F"/>
    <w:rsid w:val="0079700D"/>
    <w:rsid w:val="007B51E8"/>
    <w:rsid w:val="007D1539"/>
    <w:rsid w:val="007E0A2E"/>
    <w:rsid w:val="0080790A"/>
    <w:rsid w:val="00812816"/>
    <w:rsid w:val="00814EF8"/>
    <w:rsid w:val="00817A59"/>
    <w:rsid w:val="00831538"/>
    <w:rsid w:val="00831FBF"/>
    <w:rsid w:val="00834919"/>
    <w:rsid w:val="0084496B"/>
    <w:rsid w:val="00880843"/>
    <w:rsid w:val="00882A5C"/>
    <w:rsid w:val="008864F3"/>
    <w:rsid w:val="008872B2"/>
    <w:rsid w:val="00892253"/>
    <w:rsid w:val="008C049A"/>
    <w:rsid w:val="008D3661"/>
    <w:rsid w:val="008E0FF0"/>
    <w:rsid w:val="00900EA9"/>
    <w:rsid w:val="009224B8"/>
    <w:rsid w:val="00930794"/>
    <w:rsid w:val="009558A1"/>
    <w:rsid w:val="009A67F8"/>
    <w:rsid w:val="009D699A"/>
    <w:rsid w:val="00A033B1"/>
    <w:rsid w:val="00A12238"/>
    <w:rsid w:val="00A238B8"/>
    <w:rsid w:val="00A42E86"/>
    <w:rsid w:val="00A45B9F"/>
    <w:rsid w:val="00A6763B"/>
    <w:rsid w:val="00AA1F30"/>
    <w:rsid w:val="00AA433D"/>
    <w:rsid w:val="00AB6B1C"/>
    <w:rsid w:val="00AD08C7"/>
    <w:rsid w:val="00AD66DB"/>
    <w:rsid w:val="00B01C4D"/>
    <w:rsid w:val="00B01F62"/>
    <w:rsid w:val="00B161A2"/>
    <w:rsid w:val="00B24480"/>
    <w:rsid w:val="00B5711A"/>
    <w:rsid w:val="00B67A95"/>
    <w:rsid w:val="00B73B47"/>
    <w:rsid w:val="00B81329"/>
    <w:rsid w:val="00B97DF3"/>
    <w:rsid w:val="00BB1211"/>
    <w:rsid w:val="00BC2903"/>
    <w:rsid w:val="00BC46D3"/>
    <w:rsid w:val="00BE51C6"/>
    <w:rsid w:val="00C021CF"/>
    <w:rsid w:val="00C02D5E"/>
    <w:rsid w:val="00C04D53"/>
    <w:rsid w:val="00C11594"/>
    <w:rsid w:val="00C350B3"/>
    <w:rsid w:val="00C37FE0"/>
    <w:rsid w:val="00C536A8"/>
    <w:rsid w:val="00C5725C"/>
    <w:rsid w:val="00C6110F"/>
    <w:rsid w:val="00CA2AF6"/>
    <w:rsid w:val="00CA3EA4"/>
    <w:rsid w:val="00CA4D68"/>
    <w:rsid w:val="00CB4FA0"/>
    <w:rsid w:val="00CD3E69"/>
    <w:rsid w:val="00CD4B5C"/>
    <w:rsid w:val="00CD6CFF"/>
    <w:rsid w:val="00CE5DA5"/>
    <w:rsid w:val="00D10083"/>
    <w:rsid w:val="00D10DCE"/>
    <w:rsid w:val="00D37479"/>
    <w:rsid w:val="00D447EF"/>
    <w:rsid w:val="00D47B31"/>
    <w:rsid w:val="00D61FEA"/>
    <w:rsid w:val="00D657EA"/>
    <w:rsid w:val="00D65B77"/>
    <w:rsid w:val="00D8667B"/>
    <w:rsid w:val="00D94B16"/>
    <w:rsid w:val="00DA47E1"/>
    <w:rsid w:val="00DB41B6"/>
    <w:rsid w:val="00DB43F9"/>
    <w:rsid w:val="00DB7E4F"/>
    <w:rsid w:val="00E012BD"/>
    <w:rsid w:val="00E13326"/>
    <w:rsid w:val="00E2096F"/>
    <w:rsid w:val="00E24C71"/>
    <w:rsid w:val="00E319CB"/>
    <w:rsid w:val="00E34FD8"/>
    <w:rsid w:val="00E6401C"/>
    <w:rsid w:val="00E7551F"/>
    <w:rsid w:val="00E85A23"/>
    <w:rsid w:val="00EC1F3E"/>
    <w:rsid w:val="00ED4150"/>
    <w:rsid w:val="00EE6910"/>
    <w:rsid w:val="00F02D47"/>
    <w:rsid w:val="00F11C06"/>
    <w:rsid w:val="00F21F56"/>
    <w:rsid w:val="00F24CF7"/>
    <w:rsid w:val="00F4010F"/>
    <w:rsid w:val="00F52A21"/>
    <w:rsid w:val="00F5461E"/>
    <w:rsid w:val="00F628A0"/>
    <w:rsid w:val="00F82CB5"/>
    <w:rsid w:val="00FA5677"/>
    <w:rsid w:val="00FF3BE9"/>
    <w:rsid w:val="2554200B"/>
    <w:rsid w:val="369D6EB1"/>
    <w:rsid w:val="484C0F02"/>
    <w:rsid w:val="5E6C1226"/>
    <w:rsid w:val="6D8B3AA0"/>
    <w:rsid w:val="7B21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5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5B5E72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5B5E7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5B5E7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B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5B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10"/>
    <w:qFormat/>
    <w:rsid w:val="005B5E72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rsid w:val="005B5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B5E72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B5E72"/>
    <w:rPr>
      <w:rFonts w:ascii="宋体" w:eastAsia="宋体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5B5E7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B5E72"/>
    <w:rPr>
      <w:sz w:val="18"/>
      <w:szCs w:val="18"/>
    </w:rPr>
  </w:style>
  <w:style w:type="character" w:customStyle="1" w:styleId="Char4">
    <w:name w:val="标题 Char"/>
    <w:basedOn w:val="a0"/>
    <w:link w:val="a8"/>
    <w:uiPriority w:val="10"/>
    <w:rsid w:val="005B5E72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B5E72"/>
    <w:rPr>
      <w:b/>
      <w:bCs/>
      <w:kern w:val="44"/>
      <w:sz w:val="44"/>
      <w:szCs w:val="44"/>
    </w:rPr>
  </w:style>
  <w:style w:type="character" w:customStyle="1" w:styleId="Char1">
    <w:name w:val="批注框文本 Char"/>
    <w:basedOn w:val="a0"/>
    <w:link w:val="a5"/>
    <w:uiPriority w:val="99"/>
    <w:semiHidden/>
    <w:rsid w:val="005B5E72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5B5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34F49-5636-4E9A-AED0-53E6862B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416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69</cp:revision>
  <cp:lastPrinted>2018-06-25T07:59:00Z</cp:lastPrinted>
  <dcterms:created xsi:type="dcterms:W3CDTF">2018-06-14T08:34:00Z</dcterms:created>
  <dcterms:modified xsi:type="dcterms:W3CDTF">2018-06-26T08:28:00Z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